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8C" w:rsidRDefault="00FE4226">
      <w:pPr>
        <w:widowControl/>
        <w:spacing w:beforeLines="100" w:before="312" w:line="560" w:lineRule="exact"/>
        <w:jc w:val="center"/>
        <w:rPr>
          <w:b/>
          <w:color w:val="313131"/>
          <w:sz w:val="36"/>
          <w:szCs w:val="36"/>
        </w:rPr>
      </w:pPr>
      <w:r>
        <w:rPr>
          <w:b/>
          <w:color w:val="313131"/>
          <w:sz w:val="36"/>
          <w:szCs w:val="36"/>
        </w:rPr>
        <w:t>湘潭大学</w:t>
      </w:r>
      <w:r>
        <w:rPr>
          <w:rFonts w:hint="eastAsia"/>
          <w:b/>
          <w:color w:val="313131"/>
          <w:sz w:val="36"/>
          <w:szCs w:val="36"/>
        </w:rPr>
        <w:t>法学院·知识产权学院</w:t>
      </w:r>
    </w:p>
    <w:p w:rsidR="0083408C" w:rsidRDefault="00FE4226">
      <w:pPr>
        <w:widowControl/>
        <w:spacing w:line="560" w:lineRule="exact"/>
        <w:jc w:val="center"/>
        <w:rPr>
          <w:b/>
          <w:color w:val="313131"/>
          <w:sz w:val="36"/>
          <w:szCs w:val="36"/>
        </w:rPr>
      </w:pPr>
      <w:r>
        <w:rPr>
          <w:b/>
          <w:color w:val="313131"/>
          <w:sz w:val="36"/>
          <w:szCs w:val="36"/>
        </w:rPr>
        <w:t>20</w:t>
      </w:r>
      <w:r>
        <w:rPr>
          <w:rFonts w:hint="eastAsia"/>
          <w:b/>
          <w:color w:val="313131"/>
          <w:sz w:val="36"/>
          <w:szCs w:val="36"/>
        </w:rPr>
        <w:t>20</w:t>
      </w:r>
      <w:r>
        <w:rPr>
          <w:b/>
          <w:color w:val="313131"/>
          <w:sz w:val="36"/>
          <w:szCs w:val="36"/>
        </w:rPr>
        <w:t>年</w:t>
      </w:r>
      <w:r>
        <w:rPr>
          <w:rFonts w:hint="eastAsia"/>
          <w:b/>
          <w:color w:val="313131"/>
          <w:sz w:val="36"/>
          <w:szCs w:val="36"/>
        </w:rPr>
        <w:t>“硕博连读”、“申请</w:t>
      </w:r>
      <w:r>
        <w:rPr>
          <w:rFonts w:hint="eastAsia"/>
          <w:b/>
          <w:color w:val="313131"/>
          <w:sz w:val="36"/>
          <w:szCs w:val="36"/>
        </w:rPr>
        <w:t>-</w:t>
      </w:r>
      <w:r>
        <w:rPr>
          <w:rFonts w:hint="eastAsia"/>
          <w:b/>
          <w:color w:val="313131"/>
          <w:sz w:val="36"/>
          <w:szCs w:val="36"/>
        </w:rPr>
        <w:t>考核制”博士研究生</w:t>
      </w:r>
    </w:p>
    <w:p w:rsidR="0083408C" w:rsidRDefault="00FE4226">
      <w:pPr>
        <w:widowControl/>
        <w:spacing w:afterLines="100" w:after="312" w:line="560" w:lineRule="exact"/>
        <w:jc w:val="center"/>
        <w:rPr>
          <w:rFonts w:ascii="Times New Roman" w:hAnsi="Times New Roman" w:cs="宋体"/>
          <w:color w:val="000000"/>
          <w:kern w:val="0"/>
          <w:sz w:val="36"/>
          <w:szCs w:val="36"/>
          <w:lang w:bidi="ar"/>
        </w:rPr>
      </w:pPr>
      <w:r>
        <w:rPr>
          <w:rFonts w:hint="eastAsia"/>
          <w:b/>
          <w:color w:val="313131"/>
          <w:sz w:val="36"/>
          <w:szCs w:val="36"/>
        </w:rPr>
        <w:t>复试方案</w:t>
      </w:r>
    </w:p>
    <w:p w:rsidR="0083408C" w:rsidRDefault="00FE4226">
      <w:pPr>
        <w:spacing w:line="420" w:lineRule="exact"/>
        <w:ind w:firstLineChars="250" w:firstLine="60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为做好我校2020年“硕博连读”、“申请-考核制”博士研究生复试录取工作，根据《教育部办公厅关于进一步规范和加强研究生考试招生工作的通知》（教学厅〔2020〕2号）、《教育部办公厅关于做好2020年招收攻读博士学位研究生工作的通知》（</w:t>
      </w:r>
      <w:proofErr w:type="gramStart"/>
      <w:r>
        <w:rPr>
          <w:rFonts w:ascii="仿宋_GB2312" w:eastAsia="仿宋_GB2312" w:hAnsi="微软雅黑" w:cs="宋体" w:hint="eastAsia"/>
          <w:color w:val="000000" w:themeColor="text1"/>
          <w:sz w:val="24"/>
        </w:rPr>
        <w:t>教学厅函〔2020〕</w:t>
      </w:r>
      <w:proofErr w:type="gramEnd"/>
      <w:r>
        <w:rPr>
          <w:rFonts w:ascii="仿宋_GB2312" w:eastAsia="仿宋_GB2312" w:hAnsi="微软雅黑" w:cs="宋体" w:hint="eastAsia"/>
          <w:color w:val="000000" w:themeColor="text1"/>
          <w:sz w:val="24"/>
        </w:rPr>
        <w:t>9号）、《湘潭大学博士研究生招生“申请-考核制”实施办法》（湘大研发〔2017〕10号）、《湘潭大学“硕博连读”研究生选拔工作实施办法》（湘大研发〔2017〕11号）、《湘潭大学2020年博士研究生招生简章》，经学校研究生招生领导小组会议研究决定，制订本方案。</w:t>
      </w:r>
    </w:p>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hint="eastAsia"/>
          <w:color w:val="000000" w:themeColor="text1"/>
          <w:sz w:val="24"/>
        </w:rPr>
        <w:t>一、指导思想和原则</w:t>
      </w:r>
    </w:p>
    <w:p w:rsidR="0083408C" w:rsidRDefault="00FE4226">
      <w:pPr>
        <w:spacing w:line="440" w:lineRule="exact"/>
        <w:ind w:firstLineChars="250" w:firstLine="60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1、</w:t>
      </w:r>
      <w:r>
        <w:rPr>
          <w:rFonts w:ascii="仿宋_GB2312" w:eastAsia="仿宋_GB2312" w:hAnsi="微软雅黑" w:cs="宋体" w:hint="eastAsia"/>
          <w:color w:val="000000" w:themeColor="text1"/>
          <w:sz w:val="24"/>
        </w:rPr>
        <w:t> </w:t>
      </w:r>
      <w:r>
        <w:rPr>
          <w:rFonts w:ascii="仿宋_GB2312" w:eastAsia="仿宋_GB2312" w:hAnsi="微软雅黑" w:cs="宋体" w:hint="eastAsia"/>
          <w:color w:val="000000" w:themeColor="text1"/>
          <w:sz w:val="24"/>
        </w:rPr>
        <w:t>坚持公开、公平、公正的原则，德智体全面衡量，择优选拔，确保质量，按需招生。</w:t>
      </w:r>
    </w:p>
    <w:p w:rsidR="0083408C" w:rsidRDefault="00FE4226">
      <w:pPr>
        <w:spacing w:line="440" w:lineRule="exact"/>
        <w:ind w:firstLineChars="250" w:firstLine="60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2、</w:t>
      </w:r>
      <w:r>
        <w:rPr>
          <w:rFonts w:ascii="仿宋_GB2312" w:eastAsia="仿宋_GB2312" w:hAnsi="微软雅黑" w:cs="宋体" w:hint="eastAsia"/>
          <w:color w:val="000000" w:themeColor="text1"/>
          <w:sz w:val="24"/>
        </w:rPr>
        <w:t> </w:t>
      </w:r>
      <w:r>
        <w:rPr>
          <w:rFonts w:ascii="仿宋_GB2312" w:eastAsia="仿宋_GB2312" w:hAnsi="微软雅黑" w:cs="宋体" w:hint="eastAsia"/>
          <w:color w:val="000000" w:themeColor="text1"/>
          <w:sz w:val="24"/>
        </w:rPr>
        <w:t>坚持把考查考生的综合素质和专业水平作为复试的重点，选拔具有创新能力、良好学术潜力或实务能力的人才。</w:t>
      </w:r>
    </w:p>
    <w:p w:rsidR="0083408C" w:rsidRDefault="00FE4226">
      <w:pPr>
        <w:spacing w:line="440" w:lineRule="exact"/>
        <w:ind w:firstLineChars="250" w:firstLine="60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3、坚持以人为本的原则，在复试录取过程中切实做到尊重考生、服务考生，维护考生合法权益。</w:t>
      </w:r>
    </w:p>
    <w:p w:rsidR="0083408C" w:rsidRDefault="00FE4226">
      <w:pPr>
        <w:spacing w:line="440" w:lineRule="exact"/>
        <w:ind w:firstLineChars="250" w:firstLine="60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4、</w:t>
      </w:r>
      <w:r>
        <w:rPr>
          <w:rFonts w:ascii="仿宋_GB2312" w:eastAsia="仿宋_GB2312" w:hAnsi="微软雅黑" w:cs="宋体" w:hint="eastAsia"/>
          <w:color w:val="000000" w:themeColor="text1"/>
          <w:sz w:val="24"/>
        </w:rPr>
        <w:t> </w:t>
      </w:r>
      <w:r>
        <w:rPr>
          <w:rFonts w:ascii="仿宋_GB2312" w:eastAsia="仿宋_GB2312" w:hAnsi="微软雅黑" w:cs="宋体" w:hint="eastAsia"/>
          <w:color w:val="000000" w:themeColor="text1"/>
          <w:sz w:val="24"/>
        </w:rPr>
        <w:t>加强和完善监督检查机制，切实维护考生的正当权益。</w:t>
      </w:r>
    </w:p>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hint="eastAsia"/>
          <w:color w:val="000000" w:themeColor="text1"/>
          <w:sz w:val="24"/>
        </w:rPr>
        <w:t>二、管理机构</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1、招生领导小组</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湘潭大学法学院·知识产权学院招生领导小组，统筹协调，全面负责学院的博士研究生招生、复试及录取工作。</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招生领导小组组长：肖冬梅</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成员：廖永安、黄德华、欧爱民、吴勇、黄明儒、蔡高强、李蓉、王国征、张义清、刘海鸥、吴建雄、</w:t>
      </w:r>
      <w:proofErr w:type="gramStart"/>
      <w:r>
        <w:rPr>
          <w:rFonts w:ascii="仿宋_GB2312" w:eastAsia="仿宋_GB2312" w:hAnsi="微软雅黑" w:cs="宋体" w:hint="eastAsia"/>
          <w:color w:val="000000" w:themeColor="text1"/>
          <w:sz w:val="24"/>
        </w:rPr>
        <w:t>顾敏康</w:t>
      </w:r>
      <w:proofErr w:type="gramEnd"/>
    </w:p>
    <w:p w:rsidR="0083408C" w:rsidRDefault="00FE4226">
      <w:pPr>
        <w:widowControl/>
        <w:numPr>
          <w:ilvl w:val="0"/>
          <w:numId w:val="1"/>
        </w:numPr>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复试工作小组</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lastRenderedPageBreak/>
        <w:t>学院成立博士研究生复试工作小组，负责对申请人申请材料进行综合评定，根据招生专业的实际情况采取笔试及面试的方式对申请者进行复试。复试工作小组成员由招生领导小组决定。</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3、复试录取监督工作</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由院党委书记担任博士生复试录取的督查工作，具体负责监督、检查学院审核和录取工作情况。</w:t>
      </w:r>
    </w:p>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hint="eastAsia"/>
          <w:color w:val="000000" w:themeColor="text1"/>
          <w:sz w:val="24"/>
        </w:rPr>
        <w:t>三、录取程序</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（一）硕博连读的审核录取方案</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1、硕博连读采取面试审核方式。面试时间不少于20分钟，审核内容包括科研能力审核和科研计划考核，两项均及格者，将其复试成绩加权求和，排列录取顺序。科研能力考核、科研计划考核权重分别为50%，考生需提前准备好PPT，以PPT展示的形式进行汇报。</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sym w:font="Wingdings" w:char="F081"/>
      </w:r>
      <w:r>
        <w:rPr>
          <w:rFonts w:ascii="仿宋_GB2312" w:eastAsia="仿宋_GB2312" w:hAnsi="微软雅黑" w:cs="宋体" w:hint="eastAsia"/>
          <w:color w:val="000000" w:themeColor="text1"/>
          <w:sz w:val="24"/>
        </w:rPr>
        <w:t>科研能力考核（满分100分/及格60分）：科研能力审核包括科研论文、著作、奖励三个方面。考生需提交能够证明其科研能力的材料目录及已发表论文的原件。考核形式为考生当场回答相关专业问题来评估考生的专业基础水平，审核工作小组成员结合申请者的科研成果和回答问题情况独立打分，平均分为考生科研能力最终面试成绩。</w:t>
      </w:r>
    </w:p>
    <w:p w:rsidR="00714B6B" w:rsidRDefault="00FE4226" w:rsidP="003D799E">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sym w:font="Wingdings" w:char="F082"/>
      </w:r>
      <w:r>
        <w:rPr>
          <w:rFonts w:ascii="仿宋_GB2312" w:eastAsia="仿宋_GB2312" w:hAnsi="微软雅黑" w:cs="宋体" w:hint="eastAsia"/>
          <w:color w:val="000000" w:themeColor="text1"/>
          <w:sz w:val="24"/>
        </w:rPr>
        <w:t>科研计划考核（满分100分/及格60分）：考核内容为申请者对读博士学习期间的研究构想。研究构想包含</w:t>
      </w:r>
      <w:proofErr w:type="gramStart"/>
      <w:r>
        <w:rPr>
          <w:rFonts w:ascii="仿宋_GB2312" w:eastAsia="仿宋_GB2312" w:hAnsi="微软雅黑" w:cs="宋体" w:hint="eastAsia"/>
          <w:color w:val="000000" w:themeColor="text1"/>
          <w:sz w:val="24"/>
        </w:rPr>
        <w:t>拟研究</w:t>
      </w:r>
      <w:proofErr w:type="gramEnd"/>
      <w:r>
        <w:rPr>
          <w:rFonts w:ascii="仿宋_GB2312" w:eastAsia="仿宋_GB2312" w:hAnsi="微软雅黑" w:cs="宋体" w:hint="eastAsia"/>
          <w:color w:val="000000" w:themeColor="text1"/>
          <w:sz w:val="24"/>
        </w:rPr>
        <w:t>问题（博士论文选题构想）、研究方法、参考文献、相关科研成果等。审核工作小组成员结合申请者提交的科研计划和面试问答进行独立打分，平均分为考生科研计划最终面试成绩。</w:t>
      </w:r>
    </w:p>
    <w:p w:rsidR="003D799E" w:rsidRDefault="003D799E" w:rsidP="003D799E">
      <w:pPr>
        <w:widowControl/>
        <w:spacing w:line="560" w:lineRule="exact"/>
        <w:ind w:firstLineChars="200" w:firstLine="480"/>
        <w:jc w:val="left"/>
        <w:rPr>
          <w:rFonts w:ascii="仿宋_GB2312" w:eastAsia="仿宋_GB2312" w:hAnsi="微软雅黑" w:cs="宋体"/>
          <w:color w:val="000000" w:themeColor="text1"/>
          <w:sz w:val="24"/>
        </w:rPr>
      </w:pPr>
    </w:p>
    <w:p w:rsidR="003D799E" w:rsidRDefault="003D799E" w:rsidP="003D799E">
      <w:pPr>
        <w:widowControl/>
        <w:spacing w:line="560" w:lineRule="exact"/>
        <w:ind w:firstLineChars="200" w:firstLine="480"/>
        <w:jc w:val="left"/>
        <w:rPr>
          <w:rFonts w:ascii="仿宋_GB2312" w:eastAsia="仿宋_GB2312" w:hAnsi="微软雅黑" w:cs="宋体"/>
          <w:color w:val="000000" w:themeColor="text1"/>
          <w:sz w:val="24"/>
        </w:rPr>
      </w:pPr>
    </w:p>
    <w:p w:rsidR="003D799E" w:rsidRDefault="003D799E" w:rsidP="003D799E">
      <w:pPr>
        <w:widowControl/>
        <w:spacing w:line="560" w:lineRule="exact"/>
        <w:ind w:firstLineChars="200" w:firstLine="480"/>
        <w:jc w:val="left"/>
        <w:rPr>
          <w:rFonts w:ascii="仿宋_GB2312" w:eastAsia="仿宋_GB2312" w:hAnsi="微软雅黑" w:cs="宋体"/>
          <w:color w:val="000000" w:themeColor="text1"/>
          <w:sz w:val="24"/>
        </w:rPr>
      </w:pPr>
    </w:p>
    <w:p w:rsidR="003D799E" w:rsidRDefault="003D799E" w:rsidP="003D799E">
      <w:pPr>
        <w:widowControl/>
        <w:spacing w:line="560" w:lineRule="exact"/>
        <w:ind w:firstLineChars="200" w:firstLine="480"/>
        <w:jc w:val="left"/>
        <w:rPr>
          <w:rFonts w:ascii="仿宋_GB2312" w:eastAsia="仿宋_GB2312" w:hAnsi="微软雅黑" w:cs="宋体"/>
          <w:color w:val="000000" w:themeColor="text1"/>
          <w:sz w:val="24"/>
        </w:rPr>
      </w:pP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lastRenderedPageBreak/>
        <w:t>2、审核时间及地点：</w:t>
      </w:r>
    </w:p>
    <w:tbl>
      <w:tblPr>
        <w:tblStyle w:val="a5"/>
        <w:tblW w:w="0" w:type="auto"/>
        <w:tblInd w:w="182" w:type="dxa"/>
        <w:tblLayout w:type="fixed"/>
        <w:tblLook w:val="04A0" w:firstRow="1" w:lastRow="0" w:firstColumn="1" w:lastColumn="0" w:noHBand="0" w:noVBand="1"/>
      </w:tblPr>
      <w:tblGrid>
        <w:gridCol w:w="2170"/>
        <w:gridCol w:w="3673"/>
        <w:gridCol w:w="2377"/>
      </w:tblGrid>
      <w:tr w:rsidR="0083408C">
        <w:trPr>
          <w:trHeight w:val="676"/>
        </w:trPr>
        <w:tc>
          <w:tcPr>
            <w:tcW w:w="2170" w:type="dxa"/>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时 间</w:t>
            </w:r>
          </w:p>
        </w:tc>
        <w:tc>
          <w:tcPr>
            <w:tcW w:w="6050" w:type="dxa"/>
            <w:gridSpan w:val="2"/>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地 点</w:t>
            </w:r>
          </w:p>
        </w:tc>
      </w:tr>
      <w:tr w:rsidR="0083408C">
        <w:trPr>
          <w:trHeight w:val="533"/>
        </w:trPr>
        <w:tc>
          <w:tcPr>
            <w:tcW w:w="2170" w:type="dxa"/>
            <w:vAlign w:val="center"/>
          </w:tcPr>
          <w:p w:rsidR="0083408C" w:rsidRDefault="00FE4226" w:rsidP="00EB52EC">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2020年</w:t>
            </w:r>
            <w:r w:rsidR="009D24F7">
              <w:rPr>
                <w:rFonts w:ascii="仿宋_GB2312" w:eastAsia="仿宋_GB2312" w:hAnsi="微软雅黑" w:cs="宋体" w:hint="eastAsia"/>
                <w:color w:val="000000" w:themeColor="text1"/>
                <w:sz w:val="24"/>
              </w:rPr>
              <w:t>6</w:t>
            </w:r>
            <w:r>
              <w:rPr>
                <w:rFonts w:ascii="仿宋_GB2312" w:eastAsia="仿宋_GB2312" w:hAnsi="微软雅黑" w:cs="宋体" w:hint="eastAsia"/>
                <w:color w:val="000000" w:themeColor="text1"/>
                <w:sz w:val="24"/>
              </w:rPr>
              <w:t>月</w:t>
            </w:r>
            <w:r w:rsidR="00EB52EC">
              <w:rPr>
                <w:rFonts w:ascii="仿宋_GB2312" w:eastAsia="仿宋_GB2312" w:hAnsi="微软雅黑" w:cs="宋体" w:hint="eastAsia"/>
                <w:color w:val="000000" w:themeColor="text1"/>
                <w:sz w:val="24"/>
              </w:rPr>
              <w:t>8</w:t>
            </w:r>
            <w:r>
              <w:rPr>
                <w:rFonts w:ascii="仿宋_GB2312" w:eastAsia="仿宋_GB2312" w:hAnsi="微软雅黑" w:cs="宋体" w:hint="eastAsia"/>
                <w:color w:val="000000" w:themeColor="text1"/>
                <w:sz w:val="24"/>
              </w:rPr>
              <w:t>日下午14:00</w:t>
            </w:r>
          </w:p>
        </w:tc>
        <w:tc>
          <w:tcPr>
            <w:tcW w:w="3673" w:type="dxa"/>
            <w:vAlign w:val="center"/>
          </w:tcPr>
          <w:p w:rsidR="0083408C" w:rsidRDefault="00714B6B" w:rsidP="003D799E">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诉讼法</w:t>
            </w:r>
            <w:r w:rsidR="003D799E">
              <w:rPr>
                <w:rFonts w:ascii="仿宋_GB2312" w:eastAsia="仿宋_GB2312" w:hAnsi="微软雅黑" w:cs="宋体" w:hint="eastAsia"/>
                <w:color w:val="000000" w:themeColor="text1"/>
                <w:sz w:val="24"/>
              </w:rPr>
              <w:t>、</w:t>
            </w:r>
            <w:r w:rsidR="003D799E">
              <w:rPr>
                <w:rFonts w:ascii="仿宋_GB2312" w:eastAsia="仿宋_GB2312" w:hAnsi="微软雅黑" w:cs="宋体"/>
                <w:color w:val="000000" w:themeColor="text1"/>
                <w:sz w:val="24"/>
              </w:rPr>
              <w:t>经济法</w:t>
            </w:r>
            <w:r w:rsidR="003D799E">
              <w:rPr>
                <w:rFonts w:ascii="仿宋_GB2312" w:eastAsia="仿宋_GB2312" w:hAnsi="微软雅黑" w:cs="宋体" w:hint="eastAsia"/>
                <w:color w:val="000000" w:themeColor="text1"/>
                <w:sz w:val="24"/>
              </w:rPr>
              <w:t>、宪法学与行政法学</w:t>
            </w:r>
          </w:p>
        </w:tc>
        <w:tc>
          <w:tcPr>
            <w:tcW w:w="2377" w:type="dxa"/>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法学院306会议室</w:t>
            </w:r>
          </w:p>
        </w:tc>
      </w:tr>
    </w:tbl>
    <w:p w:rsidR="0083408C" w:rsidRDefault="00FE4226">
      <w:pPr>
        <w:widowControl/>
        <w:spacing w:beforeLines="50" w:before="156" w:afterLines="50" w:after="156"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3、考生名单：</w:t>
      </w:r>
    </w:p>
    <w:tbl>
      <w:tblPr>
        <w:tblStyle w:val="a5"/>
        <w:tblpPr w:leftFromText="180" w:rightFromText="180" w:vertAnchor="text" w:horzAnchor="page" w:tblpX="1951" w:tblpY="154"/>
        <w:tblOverlap w:val="never"/>
        <w:tblW w:w="0" w:type="auto"/>
        <w:tblLayout w:type="fixed"/>
        <w:tblLook w:val="04A0" w:firstRow="1" w:lastRow="0" w:firstColumn="1" w:lastColumn="0" w:noHBand="0" w:noVBand="1"/>
      </w:tblPr>
      <w:tblGrid>
        <w:gridCol w:w="1526"/>
        <w:gridCol w:w="1276"/>
        <w:gridCol w:w="1417"/>
        <w:gridCol w:w="2552"/>
        <w:gridCol w:w="1749"/>
      </w:tblGrid>
      <w:tr w:rsidR="0083408C">
        <w:trPr>
          <w:trHeight w:val="696"/>
        </w:trPr>
        <w:tc>
          <w:tcPr>
            <w:tcW w:w="1526" w:type="dxa"/>
            <w:vAlign w:val="center"/>
          </w:tcPr>
          <w:p w:rsidR="0083408C" w:rsidRDefault="00010449">
            <w:pPr>
              <w:widowControl/>
              <w:adjustRightInd w:val="0"/>
              <w:snapToGrid w:val="0"/>
              <w:spacing w:line="240" w:lineRule="atLeast"/>
              <w:jc w:val="center"/>
              <w:rPr>
                <w:rFonts w:ascii="仿宋_GB2312" w:eastAsia="仿宋_GB2312" w:hAnsi="微软雅黑" w:cs="宋体"/>
                <w:color w:val="000000" w:themeColor="text1"/>
                <w:sz w:val="24"/>
              </w:rPr>
            </w:pPr>
            <w:hyperlink r:id="rId9" w:tooltip="http://yjsglxt.xtu.edu.cn/web/cjgl/javascript:__doPostBack('dgData$ctl02$ctl00','')" w:history="1">
              <w:r w:rsidR="00FE4226">
                <w:rPr>
                  <w:rFonts w:ascii="仿宋_GB2312" w:eastAsia="仿宋_GB2312" w:hAnsi="微软雅黑" w:cs="宋体" w:hint="eastAsia"/>
                  <w:color w:val="000000" w:themeColor="text1"/>
                  <w:sz w:val="24"/>
                </w:rPr>
                <w:t>考生编号</w:t>
              </w:r>
            </w:hyperlink>
          </w:p>
        </w:tc>
        <w:tc>
          <w:tcPr>
            <w:tcW w:w="1276" w:type="dxa"/>
            <w:vAlign w:val="center"/>
          </w:tcPr>
          <w:p w:rsidR="0083408C" w:rsidRDefault="00010449">
            <w:pPr>
              <w:widowControl/>
              <w:adjustRightInd w:val="0"/>
              <w:snapToGrid w:val="0"/>
              <w:spacing w:line="240" w:lineRule="atLeast"/>
              <w:jc w:val="center"/>
              <w:rPr>
                <w:rFonts w:ascii="仿宋_GB2312" w:eastAsia="仿宋_GB2312" w:hAnsi="微软雅黑" w:cs="宋体"/>
                <w:color w:val="000000" w:themeColor="text1"/>
                <w:sz w:val="24"/>
              </w:rPr>
            </w:pPr>
            <w:hyperlink r:id="rId10" w:tooltip="http://yjsglxt.xtu.edu.cn/web/cjgl/javascript:__doPostBack('dgData$ctl02$ctl01','')" w:history="1">
              <w:r w:rsidR="00FE4226">
                <w:rPr>
                  <w:rFonts w:ascii="仿宋_GB2312" w:eastAsia="仿宋_GB2312" w:hAnsi="微软雅黑" w:cs="宋体" w:hint="eastAsia"/>
                  <w:color w:val="000000" w:themeColor="text1"/>
                  <w:sz w:val="24"/>
                </w:rPr>
                <w:t>考生姓名</w:t>
              </w:r>
            </w:hyperlink>
          </w:p>
        </w:tc>
        <w:tc>
          <w:tcPr>
            <w:tcW w:w="1417" w:type="dxa"/>
            <w:vAlign w:val="center"/>
          </w:tcPr>
          <w:p w:rsidR="0083408C" w:rsidRDefault="00010449">
            <w:pPr>
              <w:widowControl/>
              <w:adjustRightInd w:val="0"/>
              <w:snapToGrid w:val="0"/>
              <w:spacing w:line="240" w:lineRule="atLeast"/>
              <w:jc w:val="center"/>
              <w:rPr>
                <w:rFonts w:ascii="仿宋_GB2312" w:eastAsia="仿宋_GB2312" w:hAnsi="微软雅黑" w:cs="宋体"/>
                <w:color w:val="000000" w:themeColor="text1"/>
                <w:sz w:val="24"/>
              </w:rPr>
            </w:pPr>
            <w:hyperlink r:id="rId11" w:tooltip="http://yjsglxt.xtu.edu.cn/web/cjgl/javascript:__doPostBack('dgData$ctl02$ctl02','')" w:history="1">
              <w:r w:rsidR="00FE4226">
                <w:rPr>
                  <w:rFonts w:ascii="仿宋_GB2312" w:eastAsia="仿宋_GB2312" w:hAnsi="微软雅黑" w:cs="宋体" w:hint="eastAsia"/>
                  <w:color w:val="000000" w:themeColor="text1"/>
                  <w:sz w:val="24"/>
                </w:rPr>
                <w:t>考试方式</w:t>
              </w:r>
            </w:hyperlink>
          </w:p>
        </w:tc>
        <w:tc>
          <w:tcPr>
            <w:tcW w:w="2552" w:type="dxa"/>
            <w:vAlign w:val="center"/>
          </w:tcPr>
          <w:p w:rsidR="0083408C" w:rsidRDefault="00010449">
            <w:pPr>
              <w:widowControl/>
              <w:adjustRightInd w:val="0"/>
              <w:snapToGrid w:val="0"/>
              <w:spacing w:line="240" w:lineRule="atLeast"/>
              <w:jc w:val="center"/>
              <w:rPr>
                <w:rFonts w:ascii="仿宋_GB2312" w:eastAsia="仿宋_GB2312" w:hAnsi="微软雅黑" w:cs="宋体"/>
                <w:color w:val="000000" w:themeColor="text1"/>
                <w:sz w:val="24"/>
              </w:rPr>
            </w:pPr>
            <w:hyperlink r:id="rId12" w:tooltip="http://yjsglxt.xtu.edu.cn/web/cjgl/javascript:__doPostBack('dgData$ctl02$ctl03','')" w:history="1">
              <w:r w:rsidR="00FE4226">
                <w:rPr>
                  <w:rFonts w:ascii="仿宋_GB2312" w:eastAsia="仿宋_GB2312" w:hAnsi="微软雅黑" w:cs="宋体" w:hint="eastAsia"/>
                  <w:color w:val="000000" w:themeColor="text1"/>
                  <w:sz w:val="24"/>
                </w:rPr>
                <w:t>院系名称</w:t>
              </w:r>
            </w:hyperlink>
          </w:p>
        </w:tc>
        <w:tc>
          <w:tcPr>
            <w:tcW w:w="1749" w:type="dxa"/>
            <w:vAlign w:val="center"/>
          </w:tcPr>
          <w:p w:rsidR="0083408C" w:rsidRDefault="00010449">
            <w:pPr>
              <w:widowControl/>
              <w:adjustRightInd w:val="0"/>
              <w:snapToGrid w:val="0"/>
              <w:spacing w:line="240" w:lineRule="atLeast"/>
              <w:jc w:val="center"/>
              <w:rPr>
                <w:rFonts w:ascii="仿宋_GB2312" w:eastAsia="仿宋_GB2312" w:hAnsi="微软雅黑" w:cs="宋体"/>
                <w:color w:val="000000" w:themeColor="text1"/>
                <w:sz w:val="24"/>
              </w:rPr>
            </w:pPr>
            <w:hyperlink r:id="rId13" w:tooltip="http://yjsglxt.xtu.edu.cn/web/cjgl/javascript:__doPostBack('dgData$ctl02$ctl04','')" w:history="1">
              <w:r w:rsidR="00FE4226">
                <w:rPr>
                  <w:rFonts w:ascii="仿宋_GB2312" w:eastAsia="仿宋_GB2312" w:hAnsi="微软雅黑" w:cs="宋体" w:hint="eastAsia"/>
                  <w:color w:val="000000" w:themeColor="text1"/>
                  <w:sz w:val="24"/>
                </w:rPr>
                <w:t>专业名称</w:t>
              </w:r>
            </w:hyperlink>
          </w:p>
        </w:tc>
      </w:tr>
      <w:tr w:rsidR="0083408C">
        <w:trPr>
          <w:trHeight w:val="422"/>
        </w:trPr>
        <w:tc>
          <w:tcPr>
            <w:tcW w:w="152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1053099837</w:t>
            </w:r>
          </w:p>
        </w:tc>
        <w:tc>
          <w:tcPr>
            <w:tcW w:w="127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周灿</w:t>
            </w:r>
          </w:p>
        </w:tc>
        <w:tc>
          <w:tcPr>
            <w:tcW w:w="1417"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sz w:val="24"/>
              </w:rPr>
              <w:t>硕博连读</w:t>
            </w:r>
          </w:p>
        </w:tc>
        <w:tc>
          <w:tcPr>
            <w:tcW w:w="2552" w:type="dxa"/>
            <w:vAlign w:val="center"/>
          </w:tcPr>
          <w:p w:rsidR="0083408C" w:rsidRPr="00DA4D3A" w:rsidRDefault="00FE4226">
            <w:pPr>
              <w:widowControl/>
              <w:adjustRightInd w:val="0"/>
              <w:snapToGrid w:val="0"/>
              <w:spacing w:line="240" w:lineRule="atLeast"/>
              <w:jc w:val="center"/>
              <w:rPr>
                <w:rFonts w:ascii="仿宋_GB2312" w:eastAsia="仿宋_GB2312" w:hAnsi="微软雅黑" w:cs="宋体"/>
                <w:sz w:val="24"/>
              </w:rPr>
            </w:pPr>
            <w:r w:rsidRPr="00DA4D3A">
              <w:rPr>
                <w:rFonts w:ascii="仿宋_GB2312" w:eastAsia="仿宋_GB2312" w:hAnsi="微软雅黑" w:cs="宋体"/>
                <w:sz w:val="24"/>
              </w:rPr>
              <w:t>法学院</w:t>
            </w:r>
            <w:r w:rsidRPr="00DA4D3A">
              <w:rPr>
                <w:rFonts w:ascii="仿宋_GB2312" w:eastAsia="仿宋_GB2312" w:hAnsi="微软雅黑" w:cs="宋体"/>
                <w:sz w:val="24"/>
              </w:rPr>
              <w:t>·</w:t>
            </w:r>
            <w:r w:rsidRPr="00DA4D3A">
              <w:rPr>
                <w:rFonts w:ascii="仿宋_GB2312" w:eastAsia="仿宋_GB2312" w:hAnsi="微软雅黑" w:cs="宋体"/>
                <w:sz w:val="24"/>
              </w:rPr>
              <w:t>知识产权学院</w:t>
            </w:r>
          </w:p>
        </w:tc>
        <w:tc>
          <w:tcPr>
            <w:tcW w:w="1749"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b/>
                <w:sz w:val="24"/>
              </w:rPr>
            </w:pPr>
            <w:r w:rsidRPr="00DA4D3A">
              <w:rPr>
                <w:rFonts w:ascii="仿宋_GB2312" w:eastAsia="仿宋_GB2312" w:hAnsi="微软雅黑" w:cs="宋体" w:hint="eastAsia"/>
                <w:b/>
                <w:sz w:val="24"/>
              </w:rPr>
              <w:t>经济法</w:t>
            </w:r>
          </w:p>
        </w:tc>
      </w:tr>
      <w:tr w:rsidR="0083408C">
        <w:trPr>
          <w:trHeight w:val="415"/>
        </w:trPr>
        <w:tc>
          <w:tcPr>
            <w:tcW w:w="152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1053099923</w:t>
            </w:r>
          </w:p>
        </w:tc>
        <w:tc>
          <w:tcPr>
            <w:tcW w:w="127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孙秋雨</w:t>
            </w:r>
          </w:p>
        </w:tc>
        <w:tc>
          <w:tcPr>
            <w:tcW w:w="1417"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sz w:val="24"/>
              </w:rPr>
              <w:t>硕博连读</w:t>
            </w:r>
          </w:p>
        </w:tc>
        <w:tc>
          <w:tcPr>
            <w:tcW w:w="2552" w:type="dxa"/>
            <w:vAlign w:val="center"/>
          </w:tcPr>
          <w:p w:rsidR="0083408C" w:rsidRPr="00DA4D3A" w:rsidRDefault="00FE4226">
            <w:pPr>
              <w:widowControl/>
              <w:adjustRightInd w:val="0"/>
              <w:snapToGrid w:val="0"/>
              <w:spacing w:line="240" w:lineRule="atLeast"/>
              <w:jc w:val="center"/>
              <w:rPr>
                <w:rFonts w:ascii="仿宋_GB2312" w:eastAsia="仿宋_GB2312" w:hAnsi="微软雅黑" w:cs="宋体"/>
                <w:sz w:val="24"/>
              </w:rPr>
            </w:pPr>
            <w:r w:rsidRPr="00DA4D3A">
              <w:rPr>
                <w:rFonts w:ascii="仿宋_GB2312" w:eastAsia="仿宋_GB2312" w:hAnsi="微软雅黑" w:cs="宋体"/>
                <w:sz w:val="24"/>
              </w:rPr>
              <w:t>法学院</w:t>
            </w:r>
            <w:r w:rsidRPr="00DA4D3A">
              <w:rPr>
                <w:rFonts w:ascii="仿宋_GB2312" w:eastAsia="仿宋_GB2312" w:hAnsi="微软雅黑" w:cs="宋体"/>
                <w:sz w:val="24"/>
              </w:rPr>
              <w:t>·</w:t>
            </w:r>
            <w:r w:rsidRPr="00DA4D3A">
              <w:rPr>
                <w:rFonts w:ascii="仿宋_GB2312" w:eastAsia="仿宋_GB2312" w:hAnsi="微软雅黑" w:cs="宋体"/>
                <w:sz w:val="24"/>
              </w:rPr>
              <w:t>知识产权学院</w:t>
            </w:r>
          </w:p>
        </w:tc>
        <w:tc>
          <w:tcPr>
            <w:tcW w:w="1749"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b/>
                <w:sz w:val="24"/>
              </w:rPr>
            </w:pPr>
            <w:r w:rsidRPr="00DA4D3A">
              <w:rPr>
                <w:rFonts w:ascii="仿宋_GB2312" w:eastAsia="仿宋_GB2312" w:hAnsi="微软雅黑" w:cs="宋体"/>
                <w:b/>
                <w:sz w:val="24"/>
              </w:rPr>
              <w:t>诉讼法</w:t>
            </w:r>
          </w:p>
        </w:tc>
      </w:tr>
      <w:tr w:rsidR="0083408C">
        <w:trPr>
          <w:trHeight w:val="409"/>
        </w:trPr>
        <w:tc>
          <w:tcPr>
            <w:tcW w:w="152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1053099816</w:t>
            </w:r>
          </w:p>
        </w:tc>
        <w:tc>
          <w:tcPr>
            <w:tcW w:w="127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proofErr w:type="gramStart"/>
            <w:r w:rsidRPr="00DA4D3A">
              <w:rPr>
                <w:rFonts w:ascii="仿宋_GB2312" w:eastAsia="仿宋_GB2312" w:hAnsi="微软雅黑" w:cs="宋体" w:hint="eastAsia"/>
                <w:sz w:val="24"/>
              </w:rPr>
              <w:t>刘浅哲</w:t>
            </w:r>
            <w:proofErr w:type="gramEnd"/>
          </w:p>
        </w:tc>
        <w:tc>
          <w:tcPr>
            <w:tcW w:w="1417"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sz w:val="24"/>
              </w:rPr>
              <w:t>硕博连读</w:t>
            </w:r>
          </w:p>
        </w:tc>
        <w:tc>
          <w:tcPr>
            <w:tcW w:w="2552" w:type="dxa"/>
            <w:vAlign w:val="center"/>
          </w:tcPr>
          <w:p w:rsidR="0083408C" w:rsidRPr="00DA4D3A" w:rsidRDefault="00FE4226">
            <w:pPr>
              <w:widowControl/>
              <w:adjustRightInd w:val="0"/>
              <w:snapToGrid w:val="0"/>
              <w:spacing w:line="240" w:lineRule="atLeast"/>
              <w:jc w:val="center"/>
              <w:rPr>
                <w:rFonts w:ascii="仿宋_GB2312" w:eastAsia="仿宋_GB2312" w:hAnsi="微软雅黑" w:cs="宋体"/>
                <w:sz w:val="24"/>
              </w:rPr>
            </w:pPr>
            <w:r w:rsidRPr="00DA4D3A">
              <w:rPr>
                <w:rFonts w:ascii="仿宋_GB2312" w:eastAsia="仿宋_GB2312" w:hAnsi="微软雅黑" w:cs="宋体"/>
                <w:sz w:val="24"/>
              </w:rPr>
              <w:t>法学院</w:t>
            </w:r>
            <w:r w:rsidRPr="00DA4D3A">
              <w:rPr>
                <w:rFonts w:ascii="仿宋_GB2312" w:eastAsia="仿宋_GB2312" w:hAnsi="微软雅黑" w:cs="宋体"/>
                <w:sz w:val="24"/>
              </w:rPr>
              <w:t>·</w:t>
            </w:r>
            <w:r w:rsidRPr="00DA4D3A">
              <w:rPr>
                <w:rFonts w:ascii="仿宋_GB2312" w:eastAsia="仿宋_GB2312" w:hAnsi="微软雅黑" w:cs="宋体"/>
                <w:sz w:val="24"/>
              </w:rPr>
              <w:t>知识产权学院</w:t>
            </w:r>
          </w:p>
        </w:tc>
        <w:tc>
          <w:tcPr>
            <w:tcW w:w="1749"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b/>
                <w:sz w:val="24"/>
              </w:rPr>
            </w:pPr>
            <w:r w:rsidRPr="00DA4D3A">
              <w:rPr>
                <w:rFonts w:ascii="仿宋_GB2312" w:eastAsia="仿宋_GB2312" w:hAnsi="微软雅黑" w:cs="宋体"/>
                <w:b/>
                <w:sz w:val="24"/>
              </w:rPr>
              <w:t>诉讼法</w:t>
            </w:r>
          </w:p>
        </w:tc>
      </w:tr>
      <w:tr w:rsidR="0083408C">
        <w:trPr>
          <w:trHeight w:val="418"/>
        </w:trPr>
        <w:tc>
          <w:tcPr>
            <w:tcW w:w="152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1053099863</w:t>
            </w:r>
          </w:p>
        </w:tc>
        <w:tc>
          <w:tcPr>
            <w:tcW w:w="127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proofErr w:type="gramStart"/>
            <w:r w:rsidRPr="00DA4D3A">
              <w:rPr>
                <w:rFonts w:ascii="仿宋_GB2312" w:eastAsia="仿宋_GB2312" w:hAnsi="微软雅黑" w:cs="宋体" w:hint="eastAsia"/>
                <w:sz w:val="24"/>
              </w:rPr>
              <w:t>李政洋</w:t>
            </w:r>
            <w:proofErr w:type="gramEnd"/>
          </w:p>
        </w:tc>
        <w:tc>
          <w:tcPr>
            <w:tcW w:w="1417"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sz w:val="24"/>
              </w:rPr>
              <w:t>硕博连读</w:t>
            </w:r>
          </w:p>
        </w:tc>
        <w:tc>
          <w:tcPr>
            <w:tcW w:w="2552" w:type="dxa"/>
            <w:vAlign w:val="center"/>
          </w:tcPr>
          <w:p w:rsidR="0083408C" w:rsidRPr="00DA4D3A" w:rsidRDefault="00FE4226">
            <w:pPr>
              <w:widowControl/>
              <w:adjustRightInd w:val="0"/>
              <w:snapToGrid w:val="0"/>
              <w:spacing w:line="240" w:lineRule="atLeast"/>
              <w:rPr>
                <w:rFonts w:ascii="仿宋_GB2312" w:eastAsia="仿宋_GB2312" w:hAnsi="微软雅黑" w:cs="宋体"/>
                <w:sz w:val="24"/>
              </w:rPr>
            </w:pPr>
            <w:r w:rsidRPr="00DA4D3A">
              <w:rPr>
                <w:rFonts w:ascii="仿宋_GB2312" w:eastAsia="仿宋_GB2312" w:hAnsi="微软雅黑" w:cs="宋体"/>
                <w:sz w:val="24"/>
              </w:rPr>
              <w:t>法学院</w:t>
            </w:r>
            <w:r w:rsidRPr="00DA4D3A">
              <w:rPr>
                <w:rFonts w:ascii="仿宋_GB2312" w:eastAsia="仿宋_GB2312" w:hAnsi="微软雅黑" w:cs="宋体"/>
                <w:sz w:val="24"/>
              </w:rPr>
              <w:t>·</w:t>
            </w:r>
            <w:r w:rsidRPr="00DA4D3A">
              <w:rPr>
                <w:rFonts w:ascii="仿宋_GB2312" w:eastAsia="仿宋_GB2312" w:hAnsi="微软雅黑" w:cs="宋体"/>
                <w:sz w:val="24"/>
              </w:rPr>
              <w:t>知识产权学院</w:t>
            </w:r>
          </w:p>
        </w:tc>
        <w:tc>
          <w:tcPr>
            <w:tcW w:w="1749"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b/>
                <w:sz w:val="24"/>
              </w:rPr>
            </w:pPr>
            <w:r w:rsidRPr="00DA4D3A">
              <w:rPr>
                <w:rFonts w:ascii="仿宋_GB2312" w:eastAsia="仿宋_GB2312" w:hAnsi="微软雅黑" w:cs="宋体"/>
                <w:b/>
                <w:sz w:val="24"/>
              </w:rPr>
              <w:t>宪法</w:t>
            </w:r>
            <w:r w:rsidR="003D799E">
              <w:rPr>
                <w:rFonts w:ascii="仿宋_GB2312" w:eastAsia="仿宋_GB2312" w:hAnsi="微软雅黑" w:cs="宋体"/>
                <w:b/>
                <w:sz w:val="24"/>
              </w:rPr>
              <w:t>学</w:t>
            </w:r>
            <w:r w:rsidRPr="00DA4D3A">
              <w:rPr>
                <w:rFonts w:ascii="仿宋_GB2312" w:eastAsia="仿宋_GB2312" w:hAnsi="微软雅黑" w:cs="宋体"/>
                <w:b/>
                <w:sz w:val="24"/>
              </w:rPr>
              <w:t>与行政法</w:t>
            </w:r>
            <w:r w:rsidR="003D799E">
              <w:rPr>
                <w:rFonts w:ascii="仿宋_GB2312" w:eastAsia="仿宋_GB2312" w:hAnsi="微软雅黑" w:cs="宋体"/>
                <w:b/>
                <w:sz w:val="24"/>
              </w:rPr>
              <w:t>学</w:t>
            </w:r>
          </w:p>
        </w:tc>
      </w:tr>
      <w:tr w:rsidR="0083408C">
        <w:trPr>
          <w:trHeight w:val="471"/>
        </w:trPr>
        <w:tc>
          <w:tcPr>
            <w:tcW w:w="152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1053099974</w:t>
            </w:r>
          </w:p>
        </w:tc>
        <w:tc>
          <w:tcPr>
            <w:tcW w:w="127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proofErr w:type="gramStart"/>
            <w:r w:rsidRPr="00DA4D3A">
              <w:rPr>
                <w:rFonts w:ascii="仿宋_GB2312" w:eastAsia="仿宋_GB2312" w:hAnsi="微软雅黑" w:cs="宋体" w:hint="eastAsia"/>
                <w:sz w:val="24"/>
              </w:rPr>
              <w:t>王智杰</w:t>
            </w:r>
            <w:proofErr w:type="gramEnd"/>
          </w:p>
        </w:tc>
        <w:tc>
          <w:tcPr>
            <w:tcW w:w="1417"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sz w:val="24"/>
              </w:rPr>
              <w:t>硕博连读</w:t>
            </w:r>
          </w:p>
        </w:tc>
        <w:tc>
          <w:tcPr>
            <w:tcW w:w="2552" w:type="dxa"/>
            <w:vAlign w:val="center"/>
          </w:tcPr>
          <w:p w:rsidR="0083408C" w:rsidRPr="00DA4D3A" w:rsidRDefault="00FE4226">
            <w:pPr>
              <w:widowControl/>
              <w:adjustRightInd w:val="0"/>
              <w:snapToGrid w:val="0"/>
              <w:spacing w:line="240" w:lineRule="atLeast"/>
              <w:jc w:val="center"/>
              <w:rPr>
                <w:rFonts w:ascii="仿宋_GB2312" w:eastAsia="仿宋_GB2312" w:hAnsi="微软雅黑" w:cs="宋体"/>
                <w:sz w:val="24"/>
              </w:rPr>
            </w:pPr>
            <w:r w:rsidRPr="00DA4D3A">
              <w:rPr>
                <w:rFonts w:ascii="仿宋_GB2312" w:eastAsia="仿宋_GB2312" w:hAnsi="微软雅黑" w:cs="宋体"/>
                <w:sz w:val="24"/>
              </w:rPr>
              <w:t>法学院</w:t>
            </w:r>
            <w:r w:rsidRPr="00DA4D3A">
              <w:rPr>
                <w:rFonts w:ascii="仿宋_GB2312" w:eastAsia="仿宋_GB2312" w:hAnsi="微软雅黑" w:cs="宋体"/>
                <w:sz w:val="24"/>
              </w:rPr>
              <w:t>·</w:t>
            </w:r>
            <w:r w:rsidRPr="00DA4D3A">
              <w:rPr>
                <w:rFonts w:ascii="仿宋_GB2312" w:eastAsia="仿宋_GB2312" w:hAnsi="微软雅黑" w:cs="宋体"/>
                <w:sz w:val="24"/>
              </w:rPr>
              <w:t>知识产权学院</w:t>
            </w:r>
          </w:p>
        </w:tc>
        <w:tc>
          <w:tcPr>
            <w:tcW w:w="1749"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b/>
                <w:sz w:val="24"/>
              </w:rPr>
            </w:pPr>
            <w:r w:rsidRPr="00DA4D3A">
              <w:rPr>
                <w:rFonts w:ascii="仿宋_GB2312" w:eastAsia="仿宋_GB2312" w:hAnsi="微软雅黑" w:cs="宋体"/>
                <w:b/>
                <w:sz w:val="24"/>
              </w:rPr>
              <w:t>诉讼法</w:t>
            </w:r>
          </w:p>
        </w:tc>
      </w:tr>
      <w:tr w:rsidR="0083408C">
        <w:trPr>
          <w:trHeight w:val="361"/>
        </w:trPr>
        <w:tc>
          <w:tcPr>
            <w:tcW w:w="152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1053099421</w:t>
            </w:r>
          </w:p>
        </w:tc>
        <w:tc>
          <w:tcPr>
            <w:tcW w:w="1276"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hint="eastAsia"/>
                <w:sz w:val="24"/>
              </w:rPr>
              <w:t>李五志</w:t>
            </w:r>
          </w:p>
        </w:tc>
        <w:tc>
          <w:tcPr>
            <w:tcW w:w="1417" w:type="dxa"/>
            <w:vAlign w:val="center"/>
          </w:tcPr>
          <w:p w:rsidR="0083408C" w:rsidRPr="00DA4D3A" w:rsidRDefault="00FE4226">
            <w:pPr>
              <w:widowControl/>
              <w:adjustRightInd w:val="0"/>
              <w:snapToGrid w:val="0"/>
              <w:spacing w:line="240" w:lineRule="atLeast"/>
              <w:jc w:val="center"/>
              <w:textAlignment w:val="center"/>
              <w:rPr>
                <w:rFonts w:ascii="仿宋_GB2312" w:eastAsia="仿宋_GB2312" w:hAnsi="微软雅黑" w:cs="宋体"/>
                <w:sz w:val="24"/>
              </w:rPr>
            </w:pPr>
            <w:r w:rsidRPr="00DA4D3A">
              <w:rPr>
                <w:rFonts w:ascii="仿宋_GB2312" w:eastAsia="仿宋_GB2312" w:hAnsi="微软雅黑" w:cs="宋体"/>
                <w:sz w:val="24"/>
              </w:rPr>
              <w:t>硕博连读</w:t>
            </w:r>
          </w:p>
        </w:tc>
        <w:tc>
          <w:tcPr>
            <w:tcW w:w="2552" w:type="dxa"/>
            <w:vAlign w:val="center"/>
          </w:tcPr>
          <w:p w:rsidR="0083408C" w:rsidRPr="00DA4D3A" w:rsidRDefault="00FE4226">
            <w:pPr>
              <w:widowControl/>
              <w:adjustRightInd w:val="0"/>
              <w:snapToGrid w:val="0"/>
              <w:spacing w:line="240" w:lineRule="atLeast"/>
              <w:jc w:val="center"/>
              <w:rPr>
                <w:rFonts w:ascii="仿宋_GB2312" w:eastAsia="仿宋_GB2312" w:hAnsi="微软雅黑" w:cs="宋体"/>
                <w:sz w:val="24"/>
              </w:rPr>
            </w:pPr>
            <w:r w:rsidRPr="00DA4D3A">
              <w:rPr>
                <w:rFonts w:ascii="仿宋_GB2312" w:eastAsia="仿宋_GB2312" w:hAnsi="微软雅黑" w:cs="宋体"/>
                <w:sz w:val="24"/>
              </w:rPr>
              <w:t>法学院</w:t>
            </w:r>
            <w:r w:rsidRPr="00DA4D3A">
              <w:rPr>
                <w:rFonts w:ascii="仿宋_GB2312" w:eastAsia="仿宋_GB2312" w:hAnsi="微软雅黑" w:cs="宋体"/>
                <w:sz w:val="24"/>
              </w:rPr>
              <w:t>·</w:t>
            </w:r>
            <w:r w:rsidRPr="00DA4D3A">
              <w:rPr>
                <w:rFonts w:ascii="仿宋_GB2312" w:eastAsia="仿宋_GB2312" w:hAnsi="微软雅黑" w:cs="宋体"/>
                <w:sz w:val="24"/>
              </w:rPr>
              <w:t>知识产权学院</w:t>
            </w:r>
          </w:p>
        </w:tc>
        <w:tc>
          <w:tcPr>
            <w:tcW w:w="1749" w:type="dxa"/>
            <w:vAlign w:val="center"/>
          </w:tcPr>
          <w:p w:rsidR="0083408C" w:rsidRPr="00DA4D3A" w:rsidRDefault="003D799E">
            <w:pPr>
              <w:widowControl/>
              <w:adjustRightInd w:val="0"/>
              <w:snapToGrid w:val="0"/>
              <w:spacing w:line="240" w:lineRule="atLeast"/>
              <w:jc w:val="center"/>
              <w:textAlignment w:val="center"/>
              <w:rPr>
                <w:rFonts w:ascii="仿宋_GB2312" w:eastAsia="仿宋_GB2312" w:hAnsi="微软雅黑" w:cs="宋体"/>
                <w:b/>
                <w:sz w:val="24"/>
              </w:rPr>
            </w:pPr>
            <w:r w:rsidRPr="00DA4D3A">
              <w:rPr>
                <w:rFonts w:ascii="仿宋_GB2312" w:eastAsia="仿宋_GB2312" w:hAnsi="微软雅黑" w:cs="宋体"/>
                <w:b/>
                <w:sz w:val="24"/>
              </w:rPr>
              <w:t>诉讼法</w:t>
            </w:r>
          </w:p>
        </w:tc>
      </w:tr>
    </w:tbl>
    <w:p w:rsidR="0083408C" w:rsidRDefault="00FE4226">
      <w:pPr>
        <w:widowControl/>
        <w:spacing w:beforeLines="50" w:before="156" w:afterLines="50" w:after="156" w:line="560" w:lineRule="exac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（二）申请考核制的审核录取方案</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审核环节分为笔试和面试，各科目均及格者，将其各项复试成绩加权求和，排列录取顺序。笔试英语、笔试法理学、笔试专业课程、科研能力考核、科研计划考核、权重分别为10% 、10%、10%、35%、35%。</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1、笔试考核</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笔试由三门科目组成，分别为：英语（满分100分/及格60分）、法理学（满分100分/及格60分）、专业课程（满分100分/及格60分）。</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2、面试考核（考生需提前准备好PPT，以PPT展示的形式汇报），面试时间不得少于30分钟</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(1)科研能力考核（满分100分/及格60分）：科研能力审核包括科研论文、著作、奖励三个方面。考生需提交能够证明其科研能力的材料目录及已发表论文</w:t>
      </w:r>
      <w:r>
        <w:rPr>
          <w:rFonts w:ascii="仿宋_GB2312" w:eastAsia="仿宋_GB2312" w:hAnsi="微软雅黑" w:cs="宋体" w:hint="eastAsia"/>
          <w:color w:val="000000" w:themeColor="text1"/>
          <w:sz w:val="24"/>
        </w:rPr>
        <w:lastRenderedPageBreak/>
        <w:t>的原件。考核形式为考生当场回答相关专业问题来评估考生的专业基础水平，审核工作小组成员结合申请者的科研成果和回答问题情况独立打分，平均分为考生科研能力最终面试成绩。</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(2)科研计划考核（满分100分/及格60分）：考核内容为申请者对读博士学习期间的研究构想。研究构想包含</w:t>
      </w:r>
      <w:proofErr w:type="gramStart"/>
      <w:r>
        <w:rPr>
          <w:rFonts w:ascii="仿宋_GB2312" w:eastAsia="仿宋_GB2312" w:hAnsi="微软雅黑" w:cs="宋体" w:hint="eastAsia"/>
          <w:color w:val="000000" w:themeColor="text1"/>
          <w:sz w:val="24"/>
        </w:rPr>
        <w:t>拟研究</w:t>
      </w:r>
      <w:proofErr w:type="gramEnd"/>
      <w:r>
        <w:rPr>
          <w:rFonts w:ascii="仿宋_GB2312" w:eastAsia="仿宋_GB2312" w:hAnsi="微软雅黑" w:cs="宋体" w:hint="eastAsia"/>
          <w:color w:val="000000" w:themeColor="text1"/>
          <w:sz w:val="24"/>
        </w:rPr>
        <w:t>问题（博士论文选题构想）、研究方法、参考文献、相关科研成果等。审核工作小组成员结合申请者提交的科研计划和面试问答进行独立打分，平均分为考生科研计划最终面试成绩。</w:t>
      </w:r>
    </w:p>
    <w:p w:rsidR="0083408C" w:rsidRDefault="00FE4226">
      <w:pPr>
        <w:widowControl/>
        <w:spacing w:beforeLines="50" w:before="156" w:afterLines="50" w:after="156" w:line="560" w:lineRule="exact"/>
        <w:ind w:firstLineChars="200" w:firstLine="48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3、考核具体安排</w:t>
      </w:r>
    </w:p>
    <w:tbl>
      <w:tblPr>
        <w:tblStyle w:val="a5"/>
        <w:tblW w:w="8920" w:type="dxa"/>
        <w:tblLayout w:type="fixed"/>
        <w:tblLook w:val="04A0" w:firstRow="1" w:lastRow="0" w:firstColumn="1" w:lastColumn="0" w:noHBand="0" w:noVBand="1"/>
      </w:tblPr>
      <w:tblGrid>
        <w:gridCol w:w="4077"/>
        <w:gridCol w:w="2127"/>
        <w:gridCol w:w="2716"/>
      </w:tblGrid>
      <w:tr w:rsidR="0083408C">
        <w:trPr>
          <w:trHeight w:val="415"/>
        </w:trPr>
        <w:tc>
          <w:tcPr>
            <w:tcW w:w="4077" w:type="dxa"/>
            <w:vMerge w:val="restart"/>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笔 试 时 间</w:t>
            </w:r>
          </w:p>
        </w:tc>
        <w:tc>
          <w:tcPr>
            <w:tcW w:w="4843" w:type="dxa"/>
            <w:gridSpan w:val="2"/>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综 合 面 试</w:t>
            </w:r>
          </w:p>
        </w:tc>
      </w:tr>
      <w:tr w:rsidR="0083408C">
        <w:trPr>
          <w:trHeight w:val="430"/>
        </w:trPr>
        <w:tc>
          <w:tcPr>
            <w:tcW w:w="4077" w:type="dxa"/>
            <w:vMerge/>
            <w:vAlign w:val="center"/>
          </w:tcPr>
          <w:p w:rsidR="0083408C" w:rsidRDefault="0083408C">
            <w:pPr>
              <w:widowControl/>
              <w:spacing w:line="560" w:lineRule="exact"/>
              <w:jc w:val="center"/>
              <w:rPr>
                <w:rFonts w:ascii="仿宋_GB2312" w:eastAsia="仿宋_GB2312" w:hAnsi="微软雅黑" w:cs="宋体"/>
                <w:color w:val="000000" w:themeColor="text1"/>
                <w:sz w:val="24"/>
              </w:rPr>
            </w:pPr>
          </w:p>
        </w:tc>
        <w:tc>
          <w:tcPr>
            <w:tcW w:w="2127" w:type="dxa"/>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报考方向</w:t>
            </w:r>
          </w:p>
        </w:tc>
        <w:tc>
          <w:tcPr>
            <w:tcW w:w="2716" w:type="dxa"/>
            <w:vAlign w:val="center"/>
          </w:tcPr>
          <w:p w:rsidR="0083408C" w:rsidRDefault="00FE4226">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时 间地 点</w:t>
            </w:r>
          </w:p>
        </w:tc>
      </w:tr>
      <w:tr w:rsidR="00714B6B">
        <w:trPr>
          <w:trHeight w:val="933"/>
        </w:trPr>
        <w:tc>
          <w:tcPr>
            <w:tcW w:w="4077" w:type="dxa"/>
            <w:vAlign w:val="center"/>
          </w:tcPr>
          <w:p w:rsidR="00714B6B" w:rsidRPr="00DA4D3A" w:rsidRDefault="00714B6B">
            <w:pPr>
              <w:widowControl/>
              <w:spacing w:line="560" w:lineRule="exact"/>
              <w:jc w:val="center"/>
              <w:rPr>
                <w:rFonts w:ascii="仿宋_GB2312" w:eastAsia="仿宋_GB2312" w:hAnsi="微软雅黑" w:cs="宋体"/>
                <w:sz w:val="24"/>
              </w:rPr>
            </w:pPr>
            <w:r>
              <w:rPr>
                <w:rFonts w:ascii="仿宋_GB2312" w:eastAsia="仿宋_GB2312" w:hAnsi="微软雅黑" w:cs="宋体" w:hint="eastAsia"/>
                <w:color w:val="000000" w:themeColor="text1"/>
                <w:sz w:val="24"/>
              </w:rPr>
              <w:t>笔</w:t>
            </w:r>
            <w:r w:rsidRPr="00DA4D3A">
              <w:rPr>
                <w:rFonts w:ascii="仿宋_GB2312" w:eastAsia="仿宋_GB2312" w:hAnsi="微软雅黑" w:cs="宋体" w:hint="eastAsia"/>
                <w:sz w:val="24"/>
              </w:rPr>
              <w:t>试科目:英语、法理学和专业综合</w:t>
            </w:r>
          </w:p>
          <w:p w:rsidR="00714B6B" w:rsidRPr="00DA4D3A" w:rsidRDefault="00714B6B">
            <w:pPr>
              <w:widowControl/>
              <w:spacing w:line="560" w:lineRule="exact"/>
              <w:jc w:val="center"/>
              <w:rPr>
                <w:rFonts w:ascii="仿宋_GB2312" w:eastAsia="仿宋_GB2312" w:hAnsi="微软雅黑" w:cs="宋体"/>
                <w:sz w:val="24"/>
              </w:rPr>
            </w:pPr>
            <w:r w:rsidRPr="00DA4D3A">
              <w:rPr>
                <w:rFonts w:ascii="仿宋_GB2312" w:eastAsia="仿宋_GB2312" w:hAnsi="微软雅黑" w:cs="宋体" w:hint="eastAsia"/>
                <w:sz w:val="24"/>
              </w:rPr>
              <w:t>时间：20</w:t>
            </w:r>
            <w:r w:rsidRPr="00DA4D3A">
              <w:rPr>
                <w:rFonts w:ascii="仿宋_GB2312" w:eastAsia="仿宋_GB2312" w:hAnsi="微软雅黑" w:cs="宋体"/>
                <w:sz w:val="24"/>
              </w:rPr>
              <w:t>20</w:t>
            </w:r>
            <w:r w:rsidRPr="00DA4D3A">
              <w:rPr>
                <w:rFonts w:ascii="仿宋_GB2312" w:eastAsia="仿宋_GB2312" w:hAnsi="微软雅黑" w:cs="宋体" w:hint="eastAsia"/>
                <w:sz w:val="24"/>
              </w:rPr>
              <w:t>年6月</w:t>
            </w:r>
            <w:r w:rsidR="00EB52EC">
              <w:rPr>
                <w:rFonts w:ascii="仿宋_GB2312" w:eastAsia="仿宋_GB2312" w:hAnsi="微软雅黑" w:cs="宋体" w:hint="eastAsia"/>
                <w:sz w:val="24"/>
              </w:rPr>
              <w:t>8</w:t>
            </w:r>
            <w:r w:rsidRPr="00DA4D3A">
              <w:rPr>
                <w:rFonts w:ascii="仿宋_GB2312" w:eastAsia="仿宋_GB2312" w:hAnsi="微软雅黑" w:cs="宋体" w:hint="eastAsia"/>
                <w:sz w:val="24"/>
              </w:rPr>
              <w:t>日上午9:00-12:00</w:t>
            </w:r>
          </w:p>
          <w:p w:rsidR="00714B6B" w:rsidRDefault="00714B6B">
            <w:pPr>
              <w:widowControl/>
              <w:spacing w:line="560" w:lineRule="exact"/>
              <w:jc w:val="center"/>
              <w:rPr>
                <w:rFonts w:ascii="仿宋_GB2312" w:eastAsia="仿宋_GB2312" w:hAnsi="微软雅黑" w:cs="宋体"/>
                <w:color w:val="000000" w:themeColor="text1"/>
                <w:sz w:val="24"/>
              </w:rPr>
            </w:pPr>
            <w:r w:rsidRPr="00DA4D3A">
              <w:rPr>
                <w:rFonts w:ascii="仿宋_GB2312" w:eastAsia="仿宋_GB2312" w:hAnsi="微软雅黑" w:cs="宋体" w:hint="eastAsia"/>
                <w:sz w:val="24"/>
              </w:rPr>
              <w:t>地点:法学院·知识产权学院会议室306</w:t>
            </w:r>
          </w:p>
        </w:tc>
        <w:tc>
          <w:tcPr>
            <w:tcW w:w="2127" w:type="dxa"/>
            <w:vAlign w:val="center"/>
          </w:tcPr>
          <w:p w:rsidR="00714B6B" w:rsidRDefault="00714B6B" w:rsidP="00714B6B">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诉讼法</w:t>
            </w:r>
          </w:p>
        </w:tc>
        <w:tc>
          <w:tcPr>
            <w:tcW w:w="2716" w:type="dxa"/>
            <w:vAlign w:val="center"/>
          </w:tcPr>
          <w:p w:rsidR="00714B6B" w:rsidRDefault="00714B6B">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20</w:t>
            </w:r>
            <w:r>
              <w:rPr>
                <w:rFonts w:ascii="仿宋_GB2312" w:eastAsia="仿宋_GB2312" w:hAnsi="微软雅黑" w:cs="宋体"/>
                <w:color w:val="000000" w:themeColor="text1"/>
                <w:sz w:val="24"/>
              </w:rPr>
              <w:t>20</w:t>
            </w:r>
            <w:r>
              <w:rPr>
                <w:rFonts w:ascii="仿宋_GB2312" w:eastAsia="仿宋_GB2312" w:hAnsi="微软雅黑" w:cs="宋体" w:hint="eastAsia"/>
                <w:color w:val="000000" w:themeColor="text1"/>
                <w:sz w:val="24"/>
              </w:rPr>
              <w:t>年6月</w:t>
            </w:r>
            <w:r w:rsidR="00EB52EC">
              <w:rPr>
                <w:rFonts w:ascii="仿宋_GB2312" w:eastAsia="仿宋_GB2312" w:hAnsi="微软雅黑" w:cs="宋体" w:hint="eastAsia"/>
                <w:color w:val="000000" w:themeColor="text1"/>
                <w:sz w:val="24"/>
              </w:rPr>
              <w:t>8</w:t>
            </w:r>
            <w:r>
              <w:rPr>
                <w:rFonts w:ascii="仿宋_GB2312" w:eastAsia="仿宋_GB2312" w:hAnsi="微软雅黑" w:cs="宋体" w:hint="eastAsia"/>
                <w:color w:val="000000" w:themeColor="text1"/>
                <w:sz w:val="24"/>
              </w:rPr>
              <w:t>日下午14:00</w:t>
            </w:r>
          </w:p>
          <w:p w:rsidR="00714B6B" w:rsidRDefault="00714B6B">
            <w:pPr>
              <w:widowControl/>
              <w:spacing w:line="560" w:lineRule="exact"/>
              <w:jc w:val="center"/>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法学院306会议室</w:t>
            </w:r>
          </w:p>
        </w:tc>
      </w:tr>
    </w:tbl>
    <w:p w:rsidR="0083408C" w:rsidRDefault="00FE4226">
      <w:pPr>
        <w:widowControl/>
        <w:spacing w:beforeLines="50" w:before="156" w:afterLines="50" w:after="156" w:line="560" w:lineRule="exact"/>
        <w:ind w:firstLineChars="200" w:firstLine="480"/>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4、考生名单：</w:t>
      </w:r>
    </w:p>
    <w:tbl>
      <w:tblPr>
        <w:tblStyle w:val="a5"/>
        <w:tblW w:w="8919" w:type="dxa"/>
        <w:tblLayout w:type="fixed"/>
        <w:tblLook w:val="04A0" w:firstRow="1" w:lastRow="0" w:firstColumn="1" w:lastColumn="0" w:noHBand="0" w:noVBand="1"/>
      </w:tblPr>
      <w:tblGrid>
        <w:gridCol w:w="1809"/>
        <w:gridCol w:w="1276"/>
        <w:gridCol w:w="1559"/>
        <w:gridCol w:w="2694"/>
        <w:gridCol w:w="1581"/>
      </w:tblGrid>
      <w:tr w:rsidR="0083408C">
        <w:tc>
          <w:tcPr>
            <w:tcW w:w="1809" w:type="dxa"/>
            <w:vAlign w:val="center"/>
          </w:tcPr>
          <w:p w:rsidR="0083408C" w:rsidRDefault="00010449">
            <w:pPr>
              <w:widowControl/>
              <w:spacing w:line="560" w:lineRule="exact"/>
              <w:jc w:val="center"/>
              <w:rPr>
                <w:rFonts w:ascii="仿宋_GB2312" w:eastAsia="仿宋_GB2312" w:hAnsi="微软雅黑" w:cs="宋体"/>
                <w:color w:val="000000" w:themeColor="text1"/>
                <w:sz w:val="24"/>
              </w:rPr>
            </w:pPr>
            <w:hyperlink r:id="rId14" w:tooltip="http://yjsglxt.xtu.edu.cn/web/cjgl/javascript:__doPostBack('dgData$ctl02$ctl00','')" w:history="1">
              <w:r w:rsidR="00FE4226">
                <w:rPr>
                  <w:rFonts w:ascii="仿宋_GB2312" w:eastAsia="仿宋_GB2312" w:hAnsi="微软雅黑" w:cs="宋体"/>
                  <w:color w:val="000000" w:themeColor="text1"/>
                  <w:sz w:val="24"/>
                </w:rPr>
                <w:t>考生编号</w:t>
              </w:r>
            </w:hyperlink>
          </w:p>
        </w:tc>
        <w:tc>
          <w:tcPr>
            <w:tcW w:w="1276" w:type="dxa"/>
            <w:vAlign w:val="center"/>
          </w:tcPr>
          <w:p w:rsidR="0083408C" w:rsidRDefault="00010449">
            <w:pPr>
              <w:widowControl/>
              <w:spacing w:line="560" w:lineRule="exact"/>
              <w:jc w:val="center"/>
              <w:rPr>
                <w:rFonts w:ascii="仿宋_GB2312" w:eastAsia="仿宋_GB2312" w:hAnsi="微软雅黑" w:cs="宋体"/>
                <w:color w:val="000000" w:themeColor="text1"/>
                <w:sz w:val="24"/>
              </w:rPr>
            </w:pPr>
            <w:hyperlink r:id="rId15" w:tooltip="http://yjsglxt.xtu.edu.cn/web/cjgl/javascript:__doPostBack('dgData$ctl02$ctl01','')" w:history="1">
              <w:r w:rsidR="00FE4226">
                <w:rPr>
                  <w:rFonts w:ascii="仿宋_GB2312" w:eastAsia="仿宋_GB2312" w:hAnsi="微软雅黑" w:cs="宋体"/>
                  <w:color w:val="000000" w:themeColor="text1"/>
                  <w:sz w:val="24"/>
                </w:rPr>
                <w:t>考生姓名</w:t>
              </w:r>
            </w:hyperlink>
          </w:p>
        </w:tc>
        <w:tc>
          <w:tcPr>
            <w:tcW w:w="1559" w:type="dxa"/>
            <w:vAlign w:val="center"/>
          </w:tcPr>
          <w:p w:rsidR="0083408C" w:rsidRDefault="00010449">
            <w:pPr>
              <w:widowControl/>
              <w:spacing w:line="560" w:lineRule="exact"/>
              <w:jc w:val="center"/>
              <w:rPr>
                <w:rFonts w:ascii="仿宋_GB2312" w:eastAsia="仿宋_GB2312" w:hAnsi="微软雅黑" w:cs="宋体"/>
                <w:color w:val="000000" w:themeColor="text1"/>
                <w:sz w:val="24"/>
              </w:rPr>
            </w:pPr>
            <w:hyperlink r:id="rId16" w:tooltip="http://yjsglxt.xtu.edu.cn/web/cjgl/javascript:__doPostBack('dgData$ctl02$ctl02','')" w:history="1">
              <w:r w:rsidR="00FE4226">
                <w:rPr>
                  <w:rFonts w:ascii="仿宋_GB2312" w:eastAsia="仿宋_GB2312" w:hAnsi="微软雅黑" w:cs="宋体"/>
                  <w:color w:val="000000" w:themeColor="text1"/>
                  <w:sz w:val="24"/>
                </w:rPr>
                <w:t>考试方式</w:t>
              </w:r>
            </w:hyperlink>
          </w:p>
        </w:tc>
        <w:tc>
          <w:tcPr>
            <w:tcW w:w="2694" w:type="dxa"/>
            <w:vAlign w:val="center"/>
          </w:tcPr>
          <w:p w:rsidR="0083408C" w:rsidRDefault="00010449">
            <w:pPr>
              <w:widowControl/>
              <w:spacing w:line="560" w:lineRule="exact"/>
              <w:jc w:val="center"/>
              <w:rPr>
                <w:rFonts w:ascii="仿宋_GB2312" w:eastAsia="仿宋_GB2312" w:hAnsi="微软雅黑" w:cs="宋体"/>
                <w:color w:val="000000" w:themeColor="text1"/>
                <w:sz w:val="24"/>
              </w:rPr>
            </w:pPr>
            <w:hyperlink r:id="rId17" w:tooltip="http://yjsglxt.xtu.edu.cn/web/cjgl/javascript:__doPostBack('dgData$ctl02$ctl03','')" w:history="1">
              <w:r w:rsidR="00FE4226">
                <w:rPr>
                  <w:rFonts w:ascii="仿宋_GB2312" w:eastAsia="仿宋_GB2312" w:hAnsi="微软雅黑" w:cs="宋体"/>
                  <w:color w:val="000000" w:themeColor="text1"/>
                  <w:sz w:val="24"/>
                </w:rPr>
                <w:t>院系名称</w:t>
              </w:r>
            </w:hyperlink>
          </w:p>
        </w:tc>
        <w:tc>
          <w:tcPr>
            <w:tcW w:w="1581" w:type="dxa"/>
            <w:vAlign w:val="center"/>
          </w:tcPr>
          <w:p w:rsidR="0083408C" w:rsidRDefault="00010449">
            <w:pPr>
              <w:widowControl/>
              <w:spacing w:line="560" w:lineRule="exact"/>
              <w:jc w:val="center"/>
              <w:rPr>
                <w:rFonts w:ascii="仿宋_GB2312" w:eastAsia="仿宋_GB2312" w:hAnsi="微软雅黑" w:cs="宋体"/>
                <w:color w:val="000000" w:themeColor="text1"/>
                <w:sz w:val="24"/>
              </w:rPr>
            </w:pPr>
            <w:hyperlink r:id="rId18" w:tooltip="http://yjsglxt.xtu.edu.cn/web/cjgl/javascript:__doPostBack('dgData$ctl02$ctl04','')" w:history="1">
              <w:r w:rsidR="00FE4226">
                <w:rPr>
                  <w:rFonts w:ascii="仿宋_GB2312" w:eastAsia="仿宋_GB2312" w:hAnsi="微软雅黑" w:cs="宋体"/>
                  <w:color w:val="000000" w:themeColor="text1"/>
                  <w:sz w:val="24"/>
                </w:rPr>
                <w:t>专业名称</w:t>
              </w:r>
            </w:hyperlink>
          </w:p>
        </w:tc>
      </w:tr>
      <w:tr w:rsidR="0083408C">
        <w:trPr>
          <w:trHeight w:val="419"/>
        </w:trPr>
        <w:tc>
          <w:tcPr>
            <w:tcW w:w="1809" w:type="dxa"/>
            <w:vAlign w:val="center"/>
          </w:tcPr>
          <w:p w:rsidR="0083408C" w:rsidRPr="003D799E" w:rsidRDefault="00FE4226">
            <w:pPr>
              <w:widowControl/>
              <w:jc w:val="center"/>
              <w:textAlignment w:val="center"/>
              <w:rPr>
                <w:rFonts w:ascii="仿宋_GB2312" w:eastAsia="仿宋_GB2312" w:hAnsi="微软雅黑" w:cs="宋体"/>
                <w:sz w:val="24"/>
              </w:rPr>
            </w:pPr>
            <w:r w:rsidRPr="003D799E">
              <w:rPr>
                <w:rFonts w:ascii="仿宋_GB2312" w:eastAsia="仿宋_GB2312" w:hAnsi="微软雅黑" w:cs="宋体" w:hint="eastAsia"/>
                <w:sz w:val="24"/>
              </w:rPr>
              <w:t>1053099942</w:t>
            </w:r>
          </w:p>
        </w:tc>
        <w:tc>
          <w:tcPr>
            <w:tcW w:w="1276" w:type="dxa"/>
            <w:vAlign w:val="center"/>
          </w:tcPr>
          <w:p w:rsidR="0083408C" w:rsidRPr="003D799E" w:rsidRDefault="00FE4226">
            <w:pPr>
              <w:widowControl/>
              <w:jc w:val="center"/>
              <w:textAlignment w:val="center"/>
              <w:rPr>
                <w:rFonts w:ascii="仿宋_GB2312" w:eastAsia="仿宋_GB2312" w:hAnsi="微软雅黑" w:cs="宋体"/>
                <w:sz w:val="24"/>
              </w:rPr>
            </w:pPr>
            <w:proofErr w:type="gramStart"/>
            <w:r w:rsidRPr="003D799E">
              <w:rPr>
                <w:rFonts w:ascii="仿宋_GB2312" w:eastAsia="仿宋_GB2312" w:hAnsi="微软雅黑" w:cs="宋体" w:hint="eastAsia"/>
                <w:sz w:val="24"/>
              </w:rPr>
              <w:t>夏彩亮</w:t>
            </w:r>
            <w:proofErr w:type="gramEnd"/>
          </w:p>
        </w:tc>
        <w:tc>
          <w:tcPr>
            <w:tcW w:w="1559" w:type="dxa"/>
            <w:vAlign w:val="center"/>
          </w:tcPr>
          <w:p w:rsidR="0083408C" w:rsidRPr="003D799E" w:rsidRDefault="00FE4226">
            <w:pPr>
              <w:widowControl/>
              <w:jc w:val="center"/>
              <w:textAlignment w:val="center"/>
              <w:rPr>
                <w:rFonts w:ascii="仿宋_GB2312" w:eastAsia="仿宋_GB2312" w:hAnsi="微软雅黑" w:cs="宋体"/>
                <w:sz w:val="24"/>
              </w:rPr>
            </w:pPr>
            <w:r w:rsidRPr="003D799E">
              <w:rPr>
                <w:rFonts w:ascii="仿宋_GB2312" w:eastAsia="仿宋_GB2312" w:hAnsi="微软雅黑" w:cs="宋体" w:hint="eastAsia"/>
                <w:sz w:val="24"/>
              </w:rPr>
              <w:t>申请考核</w:t>
            </w:r>
          </w:p>
        </w:tc>
        <w:tc>
          <w:tcPr>
            <w:tcW w:w="2694" w:type="dxa"/>
            <w:vAlign w:val="center"/>
          </w:tcPr>
          <w:p w:rsidR="0083408C" w:rsidRPr="003D799E" w:rsidRDefault="00FE4226">
            <w:pPr>
              <w:widowControl/>
              <w:jc w:val="center"/>
              <w:rPr>
                <w:rFonts w:ascii="仿宋_GB2312" w:eastAsia="仿宋_GB2312" w:hAnsi="微软雅黑" w:cs="宋体"/>
                <w:sz w:val="24"/>
              </w:rPr>
            </w:pPr>
            <w:r w:rsidRPr="003D799E">
              <w:rPr>
                <w:rFonts w:ascii="仿宋_GB2312" w:eastAsia="仿宋_GB2312" w:hAnsi="微软雅黑" w:cs="宋体" w:hint="eastAsia"/>
                <w:sz w:val="24"/>
              </w:rPr>
              <w:t>法学院·知识产权学院</w:t>
            </w:r>
          </w:p>
        </w:tc>
        <w:tc>
          <w:tcPr>
            <w:tcW w:w="1581" w:type="dxa"/>
            <w:vAlign w:val="center"/>
          </w:tcPr>
          <w:p w:rsidR="0083408C" w:rsidRPr="003D799E" w:rsidRDefault="003D799E">
            <w:pPr>
              <w:widowControl/>
              <w:jc w:val="center"/>
              <w:textAlignment w:val="center"/>
              <w:rPr>
                <w:rFonts w:ascii="仿宋_GB2312" w:eastAsia="仿宋_GB2312" w:hAnsi="微软雅黑" w:cs="宋体"/>
                <w:sz w:val="24"/>
              </w:rPr>
            </w:pPr>
            <w:r w:rsidRPr="003D799E">
              <w:rPr>
                <w:rFonts w:ascii="仿宋_GB2312" w:eastAsia="仿宋_GB2312" w:hAnsi="微软雅黑" w:cs="宋体"/>
                <w:sz w:val="24"/>
              </w:rPr>
              <w:t>诉讼法</w:t>
            </w:r>
          </w:p>
        </w:tc>
      </w:tr>
    </w:tbl>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hint="eastAsia"/>
          <w:color w:val="000000" w:themeColor="text1"/>
          <w:sz w:val="24"/>
        </w:rPr>
        <w:t>四、录取</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审核成绩不及格者不能录取；复试期间发现考生不符合报考条件、或替考、或政治思想道德状况不符合录取要求、或弄虚作假的，视为复试不及格，不予录取；体检不合格经复查仍不符合规定条件的，不予录取。</w:t>
      </w:r>
    </w:p>
    <w:p w:rsidR="0083408C" w:rsidRDefault="00FE4226">
      <w:pPr>
        <w:widowControl/>
        <w:spacing w:line="560" w:lineRule="exact"/>
        <w:ind w:firstLineChars="200" w:firstLine="480"/>
        <w:jc w:val="left"/>
        <w:rPr>
          <w:rFonts w:ascii="仿宋_GB2312" w:eastAsia="仿宋_GB2312" w:hAnsi="微软雅黑" w:cs="宋体"/>
          <w:color w:val="000000" w:themeColor="text1"/>
          <w:sz w:val="24"/>
        </w:rPr>
      </w:pPr>
      <w:r>
        <w:rPr>
          <w:rFonts w:ascii="仿宋_GB2312" w:eastAsia="仿宋_GB2312" w:hAnsi="微软雅黑" w:cs="宋体" w:hint="eastAsia"/>
          <w:color w:val="000000" w:themeColor="text1"/>
          <w:sz w:val="24"/>
        </w:rPr>
        <w:t>审核工作小组根据加权成绩，按照德智体全面衡量、择优录取的原则，确定拟录取名单，并报法学院博士生招生工作领导小组审核后提交学校研究生院招生</w:t>
      </w:r>
      <w:r>
        <w:rPr>
          <w:rFonts w:ascii="仿宋_GB2312" w:eastAsia="仿宋_GB2312" w:hAnsi="微软雅黑" w:cs="宋体" w:hint="eastAsia"/>
          <w:color w:val="000000" w:themeColor="text1"/>
          <w:sz w:val="24"/>
        </w:rPr>
        <w:lastRenderedPageBreak/>
        <w:t>办。学校对各学院(系)上报的拟录取名单进行审核，并经过学校研究生招生工作领导小组讨论后最终确定拟录取名单。</w:t>
      </w:r>
    </w:p>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hint="eastAsia"/>
          <w:color w:val="000000" w:themeColor="text1"/>
          <w:sz w:val="24"/>
        </w:rPr>
        <w:t>五、体检</w:t>
      </w:r>
    </w:p>
    <w:p w:rsidR="0083408C" w:rsidRDefault="00FE4226">
      <w:pPr>
        <w:widowControl/>
        <w:spacing w:line="440" w:lineRule="exact"/>
        <w:ind w:firstLineChars="200" w:firstLine="480"/>
        <w:jc w:val="left"/>
        <w:rPr>
          <w:rFonts w:ascii="仿宋_GB2312" w:eastAsia="仿宋_GB2312" w:hAnsi="微软雅黑" w:cs="宋体"/>
          <w:color w:val="000000" w:themeColor="text1"/>
          <w:kern w:val="0"/>
          <w:sz w:val="24"/>
        </w:rPr>
      </w:pPr>
      <w:r>
        <w:rPr>
          <w:rFonts w:ascii="仿宋_GB2312" w:eastAsia="仿宋_GB2312" w:hAnsi="微软雅黑" w:cs="宋体" w:hint="eastAsia"/>
          <w:color w:val="000000" w:themeColor="text1"/>
          <w:kern w:val="0"/>
          <w:sz w:val="24"/>
        </w:rPr>
        <w:t>考生在确认拟录取后1个星期内，将个人有效体检报告（二甲医院及以上，复试前三个月内均可）邮寄至录取学院，未按时邮寄体检报告或体检不合格者，将取消其录取资格。体检按照《普通高等学校招生体检工作指导意见》（教学〔2003〕3号）、《教育部办公厅 卫生部办公厅关于普通高等学校招生学生入学身体检查取消乙肝项目检测有关问题的通知》（教学厅〔2010〕2号）等文件要求执行。</w:t>
      </w:r>
    </w:p>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hint="eastAsia"/>
          <w:color w:val="000000" w:themeColor="text1"/>
          <w:sz w:val="24"/>
        </w:rPr>
        <w:t>六、学费标准</w:t>
      </w:r>
    </w:p>
    <w:p w:rsidR="0083408C" w:rsidRDefault="00FE4226">
      <w:pPr>
        <w:widowControl/>
        <w:spacing w:line="440" w:lineRule="exact"/>
        <w:ind w:firstLineChars="200" w:firstLine="480"/>
        <w:jc w:val="left"/>
        <w:rPr>
          <w:rFonts w:ascii="仿宋_GB2312" w:eastAsia="仿宋_GB2312" w:hAnsi="微软雅黑" w:cs="宋体"/>
          <w:color w:val="000000" w:themeColor="text1"/>
          <w:kern w:val="0"/>
          <w:sz w:val="24"/>
        </w:rPr>
      </w:pPr>
      <w:r>
        <w:rPr>
          <w:rFonts w:ascii="仿宋_GB2312" w:eastAsia="仿宋_GB2312" w:hAnsi="微软雅黑" w:cs="宋体" w:hint="eastAsia"/>
          <w:color w:val="000000" w:themeColor="text1"/>
          <w:kern w:val="0"/>
          <w:sz w:val="24"/>
        </w:rPr>
        <w:t>学费标准以物价局最新文件为准。</w:t>
      </w:r>
    </w:p>
    <w:p w:rsidR="0083408C" w:rsidRDefault="00FE4226">
      <w:pPr>
        <w:spacing w:line="440" w:lineRule="exact"/>
        <w:ind w:firstLineChars="250" w:firstLine="600"/>
        <w:rPr>
          <w:rFonts w:ascii="黑体" w:eastAsia="黑体" w:hAnsi="黑体" w:cs="宋体"/>
          <w:color w:val="000000" w:themeColor="text1"/>
          <w:sz w:val="24"/>
        </w:rPr>
      </w:pPr>
      <w:r>
        <w:rPr>
          <w:rFonts w:ascii="黑体" w:eastAsia="黑体" w:hAnsi="黑体" w:cs="宋体"/>
          <w:color w:val="000000" w:themeColor="text1"/>
          <w:sz w:val="24"/>
        </w:rPr>
        <w:t>七、</w:t>
      </w:r>
      <w:r>
        <w:rPr>
          <w:rFonts w:ascii="黑体" w:eastAsia="黑体" w:hAnsi="黑体" w:cs="宋体" w:hint="eastAsia"/>
          <w:color w:val="000000" w:themeColor="text1"/>
          <w:sz w:val="24"/>
        </w:rPr>
        <w:t>其他</w:t>
      </w:r>
    </w:p>
    <w:p w:rsidR="0083408C" w:rsidRDefault="00FE4226">
      <w:pPr>
        <w:widowControl/>
        <w:spacing w:line="440" w:lineRule="exact"/>
        <w:ind w:firstLineChars="200" w:firstLine="480"/>
        <w:jc w:val="left"/>
        <w:rPr>
          <w:rFonts w:ascii="仿宋_GB2312" w:eastAsia="仿宋_GB2312" w:hAnsi="微软雅黑" w:cs="宋体"/>
          <w:color w:val="000000" w:themeColor="text1"/>
          <w:kern w:val="0"/>
          <w:sz w:val="24"/>
        </w:rPr>
      </w:pPr>
      <w:r>
        <w:rPr>
          <w:rFonts w:ascii="仿宋_GB2312" w:eastAsia="仿宋_GB2312" w:hAnsi="微软雅黑" w:cs="宋体" w:hint="eastAsia"/>
          <w:color w:val="000000" w:themeColor="text1"/>
          <w:kern w:val="0"/>
          <w:sz w:val="24"/>
        </w:rPr>
        <w:t>学费、</w:t>
      </w:r>
      <w:proofErr w:type="gramStart"/>
      <w:r>
        <w:rPr>
          <w:rFonts w:ascii="仿宋_GB2312" w:eastAsia="仿宋_GB2312" w:hAnsi="微软雅黑" w:cs="宋体" w:hint="eastAsia"/>
          <w:color w:val="000000" w:themeColor="text1"/>
          <w:kern w:val="0"/>
          <w:sz w:val="24"/>
        </w:rPr>
        <w:t>学制及奖助学金</w:t>
      </w:r>
      <w:proofErr w:type="gramEnd"/>
      <w:r>
        <w:rPr>
          <w:rFonts w:ascii="仿宋_GB2312" w:eastAsia="仿宋_GB2312" w:hAnsi="微软雅黑" w:cs="宋体" w:hint="eastAsia"/>
          <w:color w:val="000000" w:themeColor="text1"/>
          <w:kern w:val="0"/>
          <w:sz w:val="24"/>
        </w:rPr>
        <w:t>、复试监督和复议、体检等其他事项请参照湘潭大学研究生院主页公布的《</w:t>
      </w:r>
      <w:hyperlink r:id="rId19" w:tgtFrame="http://yjsc.xtu.edu.cn/_blank" w:tooltip="湘潭大学2017年博士研究生招生复试录取工作方案" w:history="1">
        <w:r>
          <w:rPr>
            <w:rFonts w:ascii="仿宋_GB2312" w:eastAsia="仿宋_GB2312" w:hAnsi="微软雅黑" w:cs="宋体" w:hint="eastAsia"/>
            <w:color w:val="000000" w:themeColor="text1"/>
            <w:kern w:val="0"/>
            <w:sz w:val="24"/>
          </w:rPr>
          <w:t>湘潭大学</w:t>
        </w:r>
        <w:r>
          <w:rPr>
            <w:rFonts w:ascii="仿宋_GB2312" w:eastAsia="仿宋_GB2312" w:hAnsi="微软雅黑" w:cs="宋体"/>
            <w:color w:val="000000" w:themeColor="text1"/>
            <w:kern w:val="0"/>
            <w:sz w:val="24"/>
          </w:rPr>
          <w:t>20</w:t>
        </w:r>
        <w:r>
          <w:rPr>
            <w:rFonts w:ascii="仿宋_GB2312" w:eastAsia="仿宋_GB2312" w:hAnsi="微软雅黑" w:cs="宋体" w:hint="eastAsia"/>
            <w:color w:val="000000" w:themeColor="text1"/>
            <w:kern w:val="0"/>
            <w:sz w:val="24"/>
          </w:rPr>
          <w:t>20年博士研究生招生复试录取工作方案</w:t>
        </w:r>
      </w:hyperlink>
      <w:r>
        <w:rPr>
          <w:rFonts w:ascii="仿宋_GB2312" w:eastAsia="仿宋_GB2312" w:hAnsi="微软雅黑" w:cs="宋体" w:hint="eastAsia"/>
          <w:color w:val="000000" w:themeColor="text1"/>
          <w:kern w:val="0"/>
          <w:sz w:val="24"/>
        </w:rPr>
        <w:t>》。未尽事宜由法学院·知识产权学院博士招生领导小组负责解释。</w:t>
      </w:r>
    </w:p>
    <w:p w:rsidR="0083408C" w:rsidRDefault="00FE4226">
      <w:pPr>
        <w:widowControl/>
        <w:spacing w:line="440" w:lineRule="exact"/>
        <w:ind w:firstLineChars="200" w:firstLine="480"/>
        <w:jc w:val="left"/>
        <w:rPr>
          <w:rFonts w:ascii="仿宋_GB2312" w:eastAsia="仿宋_GB2312" w:hAnsi="微软雅黑" w:cs="宋体"/>
          <w:color w:val="000000" w:themeColor="text1"/>
          <w:kern w:val="0"/>
          <w:sz w:val="24"/>
        </w:rPr>
      </w:pPr>
      <w:r>
        <w:rPr>
          <w:rFonts w:ascii="仿宋_GB2312" w:eastAsia="仿宋_GB2312" w:hAnsi="微软雅黑" w:cs="宋体" w:hint="eastAsia"/>
          <w:color w:val="000000" w:themeColor="text1"/>
          <w:kern w:val="0"/>
          <w:sz w:val="24"/>
        </w:rPr>
        <w:t>联系电话：</w:t>
      </w:r>
      <w:r>
        <w:rPr>
          <w:rFonts w:ascii="仿宋_GB2312" w:eastAsia="仿宋_GB2312" w:hAnsi="微软雅黑" w:cs="宋体"/>
          <w:color w:val="000000" w:themeColor="text1"/>
          <w:kern w:val="0"/>
          <w:sz w:val="24"/>
        </w:rPr>
        <w:t>0731-58293566</w:t>
      </w:r>
    </w:p>
    <w:p w:rsidR="0083408C" w:rsidRDefault="0083408C">
      <w:pPr>
        <w:widowControl/>
        <w:spacing w:line="440" w:lineRule="exact"/>
        <w:jc w:val="left"/>
        <w:rPr>
          <w:rFonts w:ascii="仿宋_GB2312" w:eastAsia="仿宋_GB2312" w:hAnsi="微软雅黑" w:cs="宋体"/>
          <w:color w:val="000000" w:themeColor="text1"/>
          <w:kern w:val="0"/>
          <w:sz w:val="24"/>
        </w:rPr>
      </w:pPr>
    </w:p>
    <w:p w:rsidR="0083408C" w:rsidRDefault="00FE4226">
      <w:pPr>
        <w:widowControl/>
        <w:spacing w:line="440" w:lineRule="exact"/>
        <w:jc w:val="right"/>
        <w:rPr>
          <w:rFonts w:ascii="仿宋_GB2312" w:eastAsia="仿宋_GB2312" w:hAnsi="微软雅黑" w:cs="宋体"/>
          <w:color w:val="000000" w:themeColor="text1"/>
          <w:kern w:val="0"/>
          <w:sz w:val="24"/>
        </w:rPr>
      </w:pPr>
      <w:r>
        <w:rPr>
          <w:rFonts w:ascii="仿宋_GB2312" w:eastAsia="仿宋_GB2312" w:hAnsi="微软雅黑" w:cs="宋体" w:hint="eastAsia"/>
          <w:color w:val="000000" w:themeColor="text1"/>
          <w:kern w:val="0"/>
          <w:sz w:val="24"/>
        </w:rPr>
        <w:t>湘潭大学法学院·知识产权学院</w:t>
      </w:r>
    </w:p>
    <w:p w:rsidR="0083408C" w:rsidRDefault="00FE4226">
      <w:pPr>
        <w:widowControl/>
        <w:spacing w:line="440" w:lineRule="exact"/>
        <w:jc w:val="right"/>
        <w:rPr>
          <w:rFonts w:ascii="仿宋_GB2312" w:eastAsia="仿宋_GB2312" w:hAnsi="微软雅黑" w:cs="宋体"/>
          <w:color w:val="000000" w:themeColor="text1"/>
          <w:kern w:val="0"/>
          <w:sz w:val="24"/>
        </w:rPr>
      </w:pPr>
      <w:r>
        <w:rPr>
          <w:rFonts w:ascii="仿宋_GB2312" w:eastAsia="仿宋_GB2312" w:hAnsi="微软雅黑" w:cs="宋体" w:hint="eastAsia"/>
          <w:color w:val="000000" w:themeColor="text1"/>
          <w:kern w:val="0"/>
          <w:sz w:val="24"/>
        </w:rPr>
        <w:t>2020年</w:t>
      </w:r>
      <w:r w:rsidR="00F46E7D">
        <w:rPr>
          <w:rFonts w:ascii="仿宋_GB2312" w:eastAsia="仿宋_GB2312" w:hAnsi="微软雅黑" w:cs="宋体" w:hint="eastAsia"/>
          <w:color w:val="000000" w:themeColor="text1"/>
          <w:kern w:val="0"/>
          <w:sz w:val="24"/>
        </w:rPr>
        <w:t>6</w:t>
      </w:r>
      <w:r>
        <w:rPr>
          <w:rFonts w:ascii="仿宋_GB2312" w:eastAsia="仿宋_GB2312" w:hAnsi="微软雅黑" w:cs="宋体" w:hint="eastAsia"/>
          <w:color w:val="000000" w:themeColor="text1"/>
          <w:kern w:val="0"/>
          <w:sz w:val="24"/>
        </w:rPr>
        <w:t>月</w:t>
      </w:r>
      <w:r w:rsidR="00010449">
        <w:rPr>
          <w:rFonts w:ascii="仿宋_GB2312" w:eastAsia="仿宋_GB2312" w:hAnsi="微软雅黑" w:cs="宋体" w:hint="eastAsia"/>
          <w:color w:val="000000" w:themeColor="text1"/>
          <w:kern w:val="0"/>
          <w:sz w:val="24"/>
        </w:rPr>
        <w:t>4</w:t>
      </w:r>
      <w:bookmarkStart w:id="0" w:name="_GoBack"/>
      <w:bookmarkEnd w:id="0"/>
      <w:r>
        <w:rPr>
          <w:rFonts w:ascii="仿宋_GB2312" w:eastAsia="仿宋_GB2312" w:hAnsi="微软雅黑" w:cs="宋体" w:hint="eastAsia"/>
          <w:color w:val="000000" w:themeColor="text1"/>
          <w:kern w:val="0"/>
          <w:sz w:val="24"/>
        </w:rPr>
        <w:t>日</w:t>
      </w:r>
    </w:p>
    <w:p w:rsidR="0083408C" w:rsidRDefault="0083408C">
      <w:pPr>
        <w:rPr>
          <w:rFonts w:ascii="仿宋_GB2312" w:eastAsia="仿宋_GB2312" w:hAnsi="微软雅黑" w:cs="宋体"/>
          <w:color w:val="000000" w:themeColor="text1"/>
          <w:sz w:val="24"/>
        </w:rPr>
      </w:pPr>
    </w:p>
    <w:sectPr w:rsidR="008340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C0" w:rsidRDefault="003754C0" w:rsidP="009D24F7">
      <w:r>
        <w:separator/>
      </w:r>
    </w:p>
  </w:endnote>
  <w:endnote w:type="continuationSeparator" w:id="0">
    <w:p w:rsidR="003754C0" w:rsidRDefault="003754C0" w:rsidP="009D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C0" w:rsidRDefault="003754C0" w:rsidP="009D24F7">
      <w:r>
        <w:separator/>
      </w:r>
    </w:p>
  </w:footnote>
  <w:footnote w:type="continuationSeparator" w:id="0">
    <w:p w:rsidR="003754C0" w:rsidRDefault="003754C0" w:rsidP="009D2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818B"/>
    <w:multiLevelType w:val="singleLevel"/>
    <w:tmpl w:val="2978818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75"/>
    <w:rsid w:val="00010449"/>
    <w:rsid w:val="000228E7"/>
    <w:rsid w:val="0010786F"/>
    <w:rsid w:val="0027113B"/>
    <w:rsid w:val="0029591A"/>
    <w:rsid w:val="002D257C"/>
    <w:rsid w:val="0035544F"/>
    <w:rsid w:val="003754C0"/>
    <w:rsid w:val="003D358C"/>
    <w:rsid w:val="003D799E"/>
    <w:rsid w:val="003F68D0"/>
    <w:rsid w:val="004E428B"/>
    <w:rsid w:val="00513332"/>
    <w:rsid w:val="0055200A"/>
    <w:rsid w:val="00572BA7"/>
    <w:rsid w:val="005E5F9F"/>
    <w:rsid w:val="006112AF"/>
    <w:rsid w:val="00694D41"/>
    <w:rsid w:val="006F3C9F"/>
    <w:rsid w:val="00714B6B"/>
    <w:rsid w:val="00761053"/>
    <w:rsid w:val="0083408C"/>
    <w:rsid w:val="00841575"/>
    <w:rsid w:val="008A060D"/>
    <w:rsid w:val="008F73E3"/>
    <w:rsid w:val="009D24F7"/>
    <w:rsid w:val="00A172CA"/>
    <w:rsid w:val="00A83623"/>
    <w:rsid w:val="00AB144E"/>
    <w:rsid w:val="00AE5284"/>
    <w:rsid w:val="00B84666"/>
    <w:rsid w:val="00BD631E"/>
    <w:rsid w:val="00C32A5C"/>
    <w:rsid w:val="00D047BC"/>
    <w:rsid w:val="00D6321E"/>
    <w:rsid w:val="00DA4D3A"/>
    <w:rsid w:val="00DB4744"/>
    <w:rsid w:val="00DC35D5"/>
    <w:rsid w:val="00DF2FCA"/>
    <w:rsid w:val="00E1163A"/>
    <w:rsid w:val="00EA6695"/>
    <w:rsid w:val="00EB3917"/>
    <w:rsid w:val="00EB52EC"/>
    <w:rsid w:val="00F46E7D"/>
    <w:rsid w:val="00F70CED"/>
    <w:rsid w:val="00F74ED6"/>
    <w:rsid w:val="00FE4226"/>
    <w:rsid w:val="03703115"/>
    <w:rsid w:val="25DE1DA9"/>
    <w:rsid w:val="291F4BA9"/>
    <w:rsid w:val="318E28E5"/>
    <w:rsid w:val="6ED02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jsglxt.xtu.edu.cn/web/cjgl/javascript:__doPostBack('dgData$ctl02$ctl04','')" TargetMode="External"/><Relationship Id="rId18" Type="http://schemas.openxmlformats.org/officeDocument/2006/relationships/hyperlink" Target="http://yjsglxt.xtu.edu.cn/web/cjgl/javascript:__doPostBack('dgData$ctl02$ctl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yjsglxt.xtu.edu.cn/web/cjgl/javascript:__doPostBack('dgData$ctl02$ctl03','')" TargetMode="External"/><Relationship Id="rId17" Type="http://schemas.openxmlformats.org/officeDocument/2006/relationships/hyperlink" Target="http://yjsglxt.xtu.edu.cn/web/cjgl/javascript:__doPostBack('dgData$ctl02$ctl03','')" TargetMode="External"/><Relationship Id="rId2" Type="http://schemas.openxmlformats.org/officeDocument/2006/relationships/numbering" Target="numbering.xml"/><Relationship Id="rId16" Type="http://schemas.openxmlformats.org/officeDocument/2006/relationships/hyperlink" Target="http://yjsglxt.xtu.edu.cn/web/cjgl/javascript:__doPostBack('dgData$ctl02$ctl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jsglxt.xtu.edu.cn/web/cjgl/javascript:__doPostBack('dgData$ctl02$ctl02','')" TargetMode="External"/><Relationship Id="rId5" Type="http://schemas.openxmlformats.org/officeDocument/2006/relationships/settings" Target="settings.xml"/><Relationship Id="rId15" Type="http://schemas.openxmlformats.org/officeDocument/2006/relationships/hyperlink" Target="http://yjsglxt.xtu.edu.cn/web/cjgl/javascript:__doPostBack('dgData$ctl02$ctl01','')" TargetMode="External"/><Relationship Id="rId10" Type="http://schemas.openxmlformats.org/officeDocument/2006/relationships/hyperlink" Target="http://yjsglxt.xtu.edu.cn/web/cjgl/javascript:__doPostBack('dgData$ctl02$ctl01','')" TargetMode="External"/><Relationship Id="rId19" Type="http://schemas.openxmlformats.org/officeDocument/2006/relationships/hyperlink" Target="http://yjsc.xtu.edu.cn/html/168/1901.html" TargetMode="External"/><Relationship Id="rId4" Type="http://schemas.microsoft.com/office/2007/relationships/stylesWithEffects" Target="stylesWithEffects.xml"/><Relationship Id="rId9" Type="http://schemas.openxmlformats.org/officeDocument/2006/relationships/hyperlink" Target="http://yjsglxt.xtu.edu.cn/web/cjgl/javascript:__doPostBack('dgData$ctl02$ctl00','')" TargetMode="External"/><Relationship Id="rId14" Type="http://schemas.openxmlformats.org/officeDocument/2006/relationships/hyperlink" Target="http://yjsglxt.xtu.edu.cn/web/cjgl/javascript:__doPostBack('dgData$ctl02$ctl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cp:lastPrinted>2020-05-21T06:36:00Z</cp:lastPrinted>
  <dcterms:created xsi:type="dcterms:W3CDTF">2020-05-23T08:57:00Z</dcterms:created>
  <dcterms:modified xsi:type="dcterms:W3CDTF">2020-06-04T03:07:00Z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